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EC" w:rsidRPr="005335C2" w:rsidRDefault="00EA44EC" w:rsidP="00EA44EC">
      <w:pPr>
        <w:spacing w:line="480" w:lineRule="auto"/>
        <w:rPr>
          <w:rFonts w:ascii="Times New Roman" w:hAnsi="Times New Roman" w:cs="Times New Roman"/>
          <w:sz w:val="24"/>
          <w:szCs w:val="24"/>
        </w:rPr>
      </w:pPr>
      <w:r w:rsidRPr="005335C2">
        <w:rPr>
          <w:rFonts w:ascii="Times New Roman" w:hAnsi="Times New Roman" w:cs="Times New Roman"/>
          <w:sz w:val="24"/>
          <w:szCs w:val="24"/>
        </w:rPr>
        <w:tab/>
      </w: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rPr>
      </w:pPr>
    </w:p>
    <w:p w:rsidR="00EA44EC" w:rsidRPr="005335C2" w:rsidRDefault="00EA44EC" w:rsidP="00EA44EC">
      <w:pPr>
        <w:jc w:val="center"/>
        <w:rPr>
          <w:rFonts w:ascii="Times New Roman" w:hAnsi="Times New Roman" w:cs="Times New Roman"/>
          <w:sz w:val="24"/>
          <w:szCs w:val="24"/>
          <w:u w:val="single"/>
        </w:rPr>
      </w:pPr>
      <w:r w:rsidRPr="005335C2">
        <w:rPr>
          <w:rFonts w:ascii="Times New Roman" w:hAnsi="Times New Roman" w:cs="Times New Roman"/>
          <w:sz w:val="24"/>
          <w:szCs w:val="24"/>
        </w:rPr>
        <w:t>Assignment 1: Pe</w:t>
      </w:r>
      <w:bookmarkStart w:id="0" w:name="_GoBack"/>
      <w:bookmarkEnd w:id="0"/>
      <w:r w:rsidRPr="005335C2">
        <w:rPr>
          <w:rFonts w:ascii="Times New Roman" w:hAnsi="Times New Roman" w:cs="Times New Roman"/>
          <w:sz w:val="24"/>
          <w:szCs w:val="24"/>
        </w:rPr>
        <w:t>rformance Analysis</w:t>
      </w:r>
    </w:p>
    <w:p w:rsidR="00EA44EC" w:rsidRPr="005335C2" w:rsidRDefault="00EA44EC" w:rsidP="00EA44EC">
      <w:pPr>
        <w:jc w:val="center"/>
        <w:rPr>
          <w:rFonts w:ascii="Times New Roman" w:hAnsi="Times New Roman" w:cs="Times New Roman"/>
          <w:sz w:val="24"/>
          <w:szCs w:val="24"/>
        </w:rPr>
      </w:pPr>
      <w:r w:rsidRPr="005335C2">
        <w:rPr>
          <w:rFonts w:ascii="Times New Roman" w:hAnsi="Times New Roman" w:cs="Times New Roman"/>
          <w:sz w:val="24"/>
          <w:szCs w:val="24"/>
        </w:rPr>
        <w:t>Michael S. Oberlin</w:t>
      </w:r>
    </w:p>
    <w:p w:rsidR="00EA44EC" w:rsidRPr="005335C2" w:rsidRDefault="00EA44EC" w:rsidP="00EA44EC">
      <w:pPr>
        <w:jc w:val="center"/>
        <w:rPr>
          <w:rFonts w:ascii="Times New Roman" w:hAnsi="Times New Roman" w:cs="Times New Roman"/>
          <w:sz w:val="24"/>
          <w:szCs w:val="24"/>
        </w:rPr>
      </w:pPr>
      <w:r w:rsidRPr="005335C2">
        <w:rPr>
          <w:rFonts w:ascii="Times New Roman" w:hAnsi="Times New Roman" w:cs="Times New Roman"/>
          <w:sz w:val="24"/>
          <w:szCs w:val="24"/>
        </w:rPr>
        <w:t>July 20, 2014 - EDCI 52800 – Summer 2014</w:t>
      </w:r>
    </w:p>
    <w:p w:rsidR="00EA44EC" w:rsidRPr="005335C2" w:rsidRDefault="00EA44EC" w:rsidP="00EA44EC">
      <w:pPr>
        <w:jc w:val="center"/>
        <w:rPr>
          <w:rFonts w:ascii="Times New Roman" w:hAnsi="Times New Roman" w:cs="Times New Roman"/>
          <w:sz w:val="24"/>
          <w:szCs w:val="24"/>
        </w:rPr>
      </w:pPr>
      <w:r w:rsidRPr="005335C2">
        <w:rPr>
          <w:rFonts w:ascii="Times New Roman" w:hAnsi="Times New Roman" w:cs="Times New Roman"/>
          <w:sz w:val="24"/>
          <w:szCs w:val="24"/>
        </w:rPr>
        <w:t>Purdue University</w:t>
      </w:r>
    </w:p>
    <w:p w:rsidR="00EA44EC" w:rsidRPr="005335C2" w:rsidRDefault="00EA44EC" w:rsidP="00EA44EC">
      <w:pPr>
        <w:jc w:val="cente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EA44EC" w:rsidRPr="005335C2" w:rsidRDefault="00EA44EC">
      <w:pPr>
        <w:rPr>
          <w:rFonts w:ascii="Times New Roman" w:hAnsi="Times New Roman" w:cs="Times New Roman"/>
          <w:sz w:val="24"/>
          <w:szCs w:val="24"/>
        </w:rPr>
      </w:pPr>
    </w:p>
    <w:p w:rsidR="00B527C7" w:rsidRDefault="00B527C7" w:rsidP="00B527C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Super Century Insurance Company</w:t>
      </w:r>
      <w:r>
        <w:rPr>
          <w:rFonts w:ascii="Times New Roman" w:hAnsi="Times New Roman" w:cs="Times New Roman"/>
          <w:sz w:val="24"/>
          <w:szCs w:val="24"/>
        </w:rPr>
        <w:tab/>
      </w:r>
    </w:p>
    <w:p w:rsidR="00D824EB" w:rsidRDefault="00B527C7" w:rsidP="00B527C7">
      <w:pPr>
        <w:spacing w:line="480" w:lineRule="auto"/>
        <w:rPr>
          <w:rFonts w:ascii="Times New Roman" w:hAnsi="Times New Roman" w:cs="Times New Roman"/>
          <w:sz w:val="24"/>
          <w:szCs w:val="24"/>
        </w:rPr>
      </w:pPr>
      <w:r>
        <w:rPr>
          <w:rFonts w:ascii="Times New Roman" w:hAnsi="Times New Roman" w:cs="Times New Roman"/>
          <w:sz w:val="24"/>
          <w:szCs w:val="24"/>
        </w:rPr>
        <w:tab/>
      </w:r>
      <w:r w:rsidR="005335C2">
        <w:rPr>
          <w:rFonts w:ascii="Times New Roman" w:hAnsi="Times New Roman" w:cs="Times New Roman"/>
          <w:sz w:val="24"/>
          <w:szCs w:val="24"/>
        </w:rPr>
        <w:t>T</w:t>
      </w:r>
      <w:r w:rsidR="00EA44EC" w:rsidRPr="005335C2">
        <w:rPr>
          <w:rFonts w:ascii="Times New Roman" w:hAnsi="Times New Roman" w:cs="Times New Roman"/>
          <w:sz w:val="24"/>
          <w:szCs w:val="24"/>
        </w:rPr>
        <w:t xml:space="preserve">he insurance industry in the United States </w:t>
      </w:r>
      <w:r w:rsidR="00B07553">
        <w:rPr>
          <w:rFonts w:ascii="Times New Roman" w:hAnsi="Times New Roman" w:cs="Times New Roman"/>
          <w:sz w:val="24"/>
          <w:szCs w:val="24"/>
        </w:rPr>
        <w:t>provides millions of people with insurance coverage on a daily basis</w:t>
      </w:r>
      <w:r w:rsidR="00FF3ADE">
        <w:rPr>
          <w:rFonts w:ascii="Times New Roman" w:hAnsi="Times New Roman" w:cs="Times New Roman"/>
          <w:sz w:val="24"/>
          <w:szCs w:val="24"/>
        </w:rPr>
        <w:t>,</w:t>
      </w:r>
      <w:r w:rsidR="00B07553">
        <w:rPr>
          <w:rFonts w:ascii="Times New Roman" w:hAnsi="Times New Roman" w:cs="Times New Roman"/>
          <w:sz w:val="24"/>
          <w:szCs w:val="24"/>
        </w:rPr>
        <w:t xml:space="preserve"> and with so many individual products and a wide customer base, the service of these policies is essential to </w:t>
      </w:r>
      <w:r w:rsidR="00FF3ADE">
        <w:rPr>
          <w:rFonts w:ascii="Times New Roman" w:hAnsi="Times New Roman" w:cs="Times New Roman"/>
          <w:sz w:val="24"/>
          <w:szCs w:val="24"/>
        </w:rPr>
        <w:t>an insurance</w:t>
      </w:r>
      <w:r w:rsidR="00B07553">
        <w:rPr>
          <w:rFonts w:ascii="Times New Roman" w:hAnsi="Times New Roman" w:cs="Times New Roman"/>
          <w:sz w:val="24"/>
          <w:szCs w:val="24"/>
        </w:rPr>
        <w:t xml:space="preserve"> company's </w:t>
      </w:r>
      <w:r w:rsidR="00EA44EC" w:rsidRPr="005335C2">
        <w:rPr>
          <w:rFonts w:ascii="Times New Roman" w:hAnsi="Times New Roman" w:cs="Times New Roman"/>
          <w:sz w:val="24"/>
          <w:szCs w:val="24"/>
        </w:rPr>
        <w:t>continued success</w:t>
      </w:r>
      <w:r w:rsidR="00B07553">
        <w:rPr>
          <w:rFonts w:ascii="Times New Roman" w:hAnsi="Times New Roman" w:cs="Times New Roman"/>
          <w:sz w:val="24"/>
          <w:szCs w:val="24"/>
        </w:rPr>
        <w:t xml:space="preserve">.  </w:t>
      </w:r>
      <w:r w:rsidR="00EA44EC" w:rsidRPr="005335C2">
        <w:rPr>
          <w:rFonts w:ascii="Times New Roman" w:hAnsi="Times New Roman" w:cs="Times New Roman"/>
          <w:sz w:val="24"/>
          <w:szCs w:val="24"/>
        </w:rPr>
        <w:t xml:space="preserve"> The Super Century Insurance Company is no exception</w:t>
      </w:r>
      <w:r w:rsidR="00E41588">
        <w:rPr>
          <w:rFonts w:ascii="Times New Roman" w:hAnsi="Times New Roman" w:cs="Times New Roman"/>
          <w:sz w:val="24"/>
          <w:szCs w:val="24"/>
        </w:rPr>
        <w:t xml:space="preserve">.  </w:t>
      </w:r>
      <w:r>
        <w:rPr>
          <w:rFonts w:ascii="Times New Roman" w:hAnsi="Times New Roman" w:cs="Times New Roman"/>
          <w:sz w:val="24"/>
          <w:szCs w:val="24"/>
        </w:rPr>
        <w:t xml:space="preserve">Super Century primarily sells and administers </w:t>
      </w:r>
      <w:r w:rsidRPr="005C6834">
        <w:rPr>
          <w:rFonts w:ascii="Times New Roman" w:hAnsi="Times New Roman" w:cs="Times New Roman"/>
          <w:sz w:val="24"/>
          <w:szCs w:val="24"/>
        </w:rPr>
        <w:t>hea</w:t>
      </w:r>
      <w:r w:rsidR="005C6834" w:rsidRPr="005C6834">
        <w:rPr>
          <w:rFonts w:ascii="Times New Roman" w:hAnsi="Times New Roman" w:cs="Times New Roman"/>
          <w:sz w:val="24"/>
          <w:szCs w:val="24"/>
        </w:rPr>
        <w:t>l</w:t>
      </w:r>
      <w:r w:rsidRPr="005C6834">
        <w:rPr>
          <w:rFonts w:ascii="Times New Roman" w:hAnsi="Times New Roman" w:cs="Times New Roman"/>
          <w:sz w:val="24"/>
          <w:szCs w:val="24"/>
        </w:rPr>
        <w:t>th</w:t>
      </w:r>
      <w:r>
        <w:rPr>
          <w:rFonts w:ascii="Times New Roman" w:hAnsi="Times New Roman" w:cs="Times New Roman"/>
          <w:sz w:val="24"/>
          <w:szCs w:val="24"/>
        </w:rPr>
        <w:t xml:space="preserve"> and life insurance </w:t>
      </w:r>
      <w:r w:rsidR="0023637C">
        <w:rPr>
          <w:rFonts w:ascii="Times New Roman" w:hAnsi="Times New Roman" w:cs="Times New Roman"/>
          <w:sz w:val="24"/>
          <w:szCs w:val="24"/>
        </w:rPr>
        <w:t xml:space="preserve">policies </w:t>
      </w:r>
      <w:r>
        <w:rPr>
          <w:rFonts w:ascii="Times New Roman" w:hAnsi="Times New Roman" w:cs="Times New Roman"/>
          <w:sz w:val="24"/>
          <w:szCs w:val="24"/>
        </w:rPr>
        <w:t xml:space="preserve">as well as annuities.  The company also manages a wide array of workforce and group policies that are associated with small businesses.  </w:t>
      </w:r>
      <w:r w:rsidR="009C1230">
        <w:rPr>
          <w:rFonts w:ascii="Times New Roman" w:hAnsi="Times New Roman" w:cs="Times New Roman"/>
          <w:sz w:val="24"/>
          <w:szCs w:val="24"/>
        </w:rPr>
        <w:t>Like other insurance companies, Super Century must adhere to strict external guidelines not only influenced by the National Association of Insurance Commissioners (NAIC) but also the individual state Departments of Insurance (DOI) in which they do business.  Super Century is also a public company subject to high shareholder expectations and therefore must carefully preserve their reputation in the markets.  Additionally, Super Century is subject to the rating systems of other financial institutions where it is imperative to maintain a high rating in order to sustain marketability.  The company relies heavily on a large network of agents and sales distribution</w:t>
      </w:r>
      <w:r w:rsidR="00C72A5C">
        <w:rPr>
          <w:rFonts w:ascii="Times New Roman" w:hAnsi="Times New Roman" w:cs="Times New Roman"/>
          <w:sz w:val="24"/>
          <w:szCs w:val="24"/>
        </w:rPr>
        <w:t xml:space="preserve"> networks as well.  The</w:t>
      </w:r>
      <w:r w:rsidR="009C1230">
        <w:rPr>
          <w:rFonts w:ascii="Times New Roman" w:hAnsi="Times New Roman" w:cs="Times New Roman"/>
          <w:sz w:val="24"/>
          <w:szCs w:val="24"/>
        </w:rPr>
        <w:t xml:space="preserve"> requests </w:t>
      </w:r>
      <w:r w:rsidR="00C72A5C">
        <w:rPr>
          <w:rFonts w:ascii="Times New Roman" w:hAnsi="Times New Roman" w:cs="Times New Roman"/>
          <w:sz w:val="24"/>
          <w:szCs w:val="24"/>
        </w:rPr>
        <w:t xml:space="preserve">made by these agents on behalf of their clients and </w:t>
      </w:r>
      <w:r w:rsidR="00C72A5C" w:rsidRPr="005C6834">
        <w:rPr>
          <w:rFonts w:ascii="Times New Roman" w:hAnsi="Times New Roman" w:cs="Times New Roman"/>
          <w:sz w:val="24"/>
          <w:szCs w:val="24"/>
        </w:rPr>
        <w:t>the prompt payment of commissions to successful sales representatives are essential to maintaining a</w:t>
      </w:r>
      <w:r w:rsidR="00C72A5C">
        <w:rPr>
          <w:rFonts w:ascii="Times New Roman" w:hAnsi="Times New Roman" w:cs="Times New Roman"/>
          <w:sz w:val="24"/>
          <w:szCs w:val="24"/>
        </w:rPr>
        <w:t xml:space="preserve"> </w:t>
      </w:r>
      <w:r w:rsidR="00D824EB">
        <w:rPr>
          <w:rFonts w:ascii="Times New Roman" w:hAnsi="Times New Roman" w:cs="Times New Roman"/>
          <w:sz w:val="24"/>
          <w:szCs w:val="24"/>
        </w:rPr>
        <w:t xml:space="preserve">satisfied </w:t>
      </w:r>
      <w:r w:rsidR="00C72A5C">
        <w:rPr>
          <w:rFonts w:ascii="Times New Roman" w:hAnsi="Times New Roman" w:cs="Times New Roman"/>
          <w:sz w:val="24"/>
          <w:szCs w:val="24"/>
        </w:rPr>
        <w:t xml:space="preserve">independent sales force </w:t>
      </w:r>
      <w:r w:rsidR="00D824EB">
        <w:rPr>
          <w:rFonts w:ascii="Times New Roman" w:hAnsi="Times New Roman" w:cs="Times New Roman"/>
          <w:sz w:val="24"/>
          <w:szCs w:val="24"/>
        </w:rPr>
        <w:t xml:space="preserve">that </w:t>
      </w:r>
      <w:r w:rsidR="00C72A5C">
        <w:rPr>
          <w:rFonts w:ascii="Times New Roman" w:hAnsi="Times New Roman" w:cs="Times New Roman"/>
          <w:sz w:val="24"/>
          <w:szCs w:val="24"/>
        </w:rPr>
        <w:t>collect</w:t>
      </w:r>
      <w:r w:rsidR="00D824EB">
        <w:rPr>
          <w:rFonts w:ascii="Times New Roman" w:hAnsi="Times New Roman" w:cs="Times New Roman"/>
          <w:sz w:val="24"/>
          <w:szCs w:val="24"/>
        </w:rPr>
        <w:t>s</w:t>
      </w:r>
      <w:r w:rsidR="00C72A5C">
        <w:rPr>
          <w:rFonts w:ascii="Times New Roman" w:hAnsi="Times New Roman" w:cs="Times New Roman"/>
          <w:sz w:val="24"/>
          <w:szCs w:val="24"/>
        </w:rPr>
        <w:t xml:space="preserve"> premiums to support company revenue.  These are just some of the </w:t>
      </w:r>
      <w:r w:rsidR="005B3DEE">
        <w:rPr>
          <w:rFonts w:ascii="Times New Roman" w:hAnsi="Times New Roman" w:cs="Times New Roman"/>
          <w:sz w:val="24"/>
          <w:szCs w:val="24"/>
        </w:rPr>
        <w:t xml:space="preserve">many influences of the external environment.  </w:t>
      </w:r>
    </w:p>
    <w:p w:rsidR="00F87702" w:rsidRDefault="00D824EB" w:rsidP="00B527C7">
      <w:pPr>
        <w:spacing w:line="480" w:lineRule="auto"/>
        <w:rPr>
          <w:rFonts w:ascii="Times New Roman" w:hAnsi="Times New Roman" w:cs="Times New Roman"/>
          <w:sz w:val="24"/>
          <w:szCs w:val="24"/>
        </w:rPr>
      </w:pPr>
      <w:r>
        <w:rPr>
          <w:rFonts w:ascii="Times New Roman" w:hAnsi="Times New Roman" w:cs="Times New Roman"/>
          <w:sz w:val="24"/>
          <w:szCs w:val="24"/>
        </w:rPr>
        <w:tab/>
      </w:r>
      <w:r w:rsidR="009C1230">
        <w:rPr>
          <w:rFonts w:ascii="Times New Roman" w:hAnsi="Times New Roman" w:cs="Times New Roman"/>
          <w:sz w:val="24"/>
          <w:szCs w:val="24"/>
        </w:rPr>
        <w:t>With such a plethora of policies to administer, a variety of policy types, changing business practices</w:t>
      </w:r>
      <w:r w:rsidR="00F87702">
        <w:rPr>
          <w:rFonts w:ascii="Times New Roman" w:hAnsi="Times New Roman" w:cs="Times New Roman"/>
          <w:sz w:val="24"/>
          <w:szCs w:val="24"/>
        </w:rPr>
        <w:t>,</w:t>
      </w:r>
      <w:r w:rsidR="009C1230">
        <w:rPr>
          <w:rFonts w:ascii="Times New Roman" w:hAnsi="Times New Roman" w:cs="Times New Roman"/>
          <w:sz w:val="24"/>
          <w:szCs w:val="24"/>
        </w:rPr>
        <w:t xml:space="preserve"> and regulatory requirements to adhere to, it is no surprise that several obstacles present themselves on a regular basis.</w:t>
      </w:r>
      <w:r w:rsidR="00F87702">
        <w:rPr>
          <w:rFonts w:ascii="Times New Roman" w:hAnsi="Times New Roman" w:cs="Times New Roman"/>
          <w:sz w:val="24"/>
          <w:szCs w:val="24"/>
        </w:rPr>
        <w:t xml:space="preserve">  The following performance analysis looks</w:t>
      </w:r>
      <w:r w:rsidR="0018689D">
        <w:rPr>
          <w:rFonts w:ascii="Times New Roman" w:hAnsi="Times New Roman" w:cs="Times New Roman"/>
          <w:sz w:val="24"/>
          <w:szCs w:val="24"/>
        </w:rPr>
        <w:t xml:space="preserve"> particularly</w:t>
      </w:r>
      <w:r w:rsidR="00F87702">
        <w:rPr>
          <w:rFonts w:ascii="Times New Roman" w:hAnsi="Times New Roman" w:cs="Times New Roman"/>
          <w:sz w:val="24"/>
          <w:szCs w:val="24"/>
        </w:rPr>
        <w:t xml:space="preserve"> into </w:t>
      </w:r>
      <w:r>
        <w:rPr>
          <w:rFonts w:ascii="Times New Roman" w:hAnsi="Times New Roman" w:cs="Times New Roman"/>
          <w:sz w:val="24"/>
          <w:szCs w:val="24"/>
        </w:rPr>
        <w:t xml:space="preserve">the </w:t>
      </w:r>
      <w:r w:rsidR="00F87702">
        <w:rPr>
          <w:rFonts w:ascii="Times New Roman" w:hAnsi="Times New Roman" w:cs="Times New Roman"/>
          <w:sz w:val="24"/>
          <w:szCs w:val="24"/>
        </w:rPr>
        <w:t xml:space="preserve">communication challenges of the customer correspondence operations and the delegation of these responsibilities to the company's contracted offshore vendor.       </w:t>
      </w:r>
      <w:r w:rsidR="005B3DEE">
        <w:rPr>
          <w:rFonts w:ascii="Times New Roman" w:hAnsi="Times New Roman" w:cs="Times New Roman"/>
          <w:sz w:val="24"/>
          <w:szCs w:val="24"/>
        </w:rPr>
        <w:t xml:space="preserve">  </w:t>
      </w:r>
    </w:p>
    <w:p w:rsidR="00F87702" w:rsidRDefault="005B3DEE" w:rsidP="00B527C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The Performance System</w:t>
      </w:r>
    </w:p>
    <w:p w:rsidR="00F9122F" w:rsidRDefault="00F87702" w:rsidP="00B527C7">
      <w:pPr>
        <w:spacing w:line="480" w:lineRule="auto"/>
        <w:rPr>
          <w:rFonts w:ascii="Times New Roman" w:hAnsi="Times New Roman" w:cs="Times New Roman"/>
          <w:sz w:val="24"/>
          <w:szCs w:val="24"/>
        </w:rPr>
      </w:pPr>
      <w:r>
        <w:rPr>
          <w:rFonts w:ascii="Times New Roman" w:hAnsi="Times New Roman" w:cs="Times New Roman"/>
          <w:sz w:val="24"/>
          <w:szCs w:val="24"/>
        </w:rPr>
        <w:tab/>
      </w:r>
      <w:r w:rsidR="005B3DEE">
        <w:rPr>
          <w:rFonts w:ascii="Times New Roman" w:hAnsi="Times New Roman" w:cs="Times New Roman"/>
          <w:sz w:val="24"/>
          <w:szCs w:val="24"/>
        </w:rPr>
        <w:t>The human performance system of the company has recently been recognized as an area</w:t>
      </w:r>
      <w:r w:rsidR="00F63F32">
        <w:rPr>
          <w:rFonts w:ascii="Times New Roman" w:hAnsi="Times New Roman" w:cs="Times New Roman"/>
          <w:sz w:val="24"/>
          <w:szCs w:val="24"/>
        </w:rPr>
        <w:t xml:space="preserve"> in need </w:t>
      </w:r>
      <w:r w:rsidR="005B3DEE">
        <w:rPr>
          <w:rFonts w:ascii="Times New Roman" w:hAnsi="Times New Roman" w:cs="Times New Roman"/>
          <w:sz w:val="24"/>
          <w:szCs w:val="24"/>
        </w:rPr>
        <w:t xml:space="preserve">of improvement specifically in the area of policy administration.  </w:t>
      </w:r>
      <w:r w:rsidR="00B527C7">
        <w:rPr>
          <w:rFonts w:ascii="Times New Roman" w:hAnsi="Times New Roman" w:cs="Times New Roman"/>
          <w:sz w:val="24"/>
          <w:szCs w:val="24"/>
        </w:rPr>
        <w:t xml:space="preserve">Transactions such as premium application, </w:t>
      </w:r>
      <w:r w:rsidR="00320046">
        <w:rPr>
          <w:rFonts w:ascii="Times New Roman" w:hAnsi="Times New Roman" w:cs="Times New Roman"/>
          <w:sz w:val="24"/>
          <w:szCs w:val="24"/>
        </w:rPr>
        <w:t xml:space="preserve">beneficiary changes, coverage adjustments </w:t>
      </w:r>
      <w:r w:rsidR="009C1230">
        <w:rPr>
          <w:rFonts w:ascii="Times New Roman" w:hAnsi="Times New Roman" w:cs="Times New Roman"/>
          <w:sz w:val="24"/>
          <w:szCs w:val="24"/>
        </w:rPr>
        <w:t xml:space="preserve">as well as customer </w:t>
      </w:r>
      <w:r w:rsidR="00D27FBF">
        <w:rPr>
          <w:rFonts w:ascii="Times New Roman" w:hAnsi="Times New Roman" w:cs="Times New Roman"/>
          <w:sz w:val="24"/>
          <w:szCs w:val="24"/>
        </w:rPr>
        <w:t>c</w:t>
      </w:r>
      <w:r w:rsidR="009C1230">
        <w:rPr>
          <w:rFonts w:ascii="Times New Roman" w:hAnsi="Times New Roman" w:cs="Times New Roman"/>
          <w:sz w:val="24"/>
          <w:szCs w:val="24"/>
        </w:rPr>
        <w:t xml:space="preserve">orrespondence are handled by </w:t>
      </w:r>
      <w:r w:rsidR="00B527C7" w:rsidRPr="00B527C7">
        <w:rPr>
          <w:rFonts w:ascii="Times New Roman" w:hAnsi="Times New Roman" w:cs="Times New Roman"/>
          <w:sz w:val="24"/>
          <w:szCs w:val="24"/>
        </w:rPr>
        <w:t xml:space="preserve">a department in </w:t>
      </w:r>
      <w:r w:rsidR="009C1230">
        <w:rPr>
          <w:rFonts w:ascii="Times New Roman" w:hAnsi="Times New Roman" w:cs="Times New Roman"/>
          <w:sz w:val="24"/>
          <w:szCs w:val="24"/>
        </w:rPr>
        <w:t xml:space="preserve">New Delhi </w:t>
      </w:r>
      <w:r w:rsidR="00B527C7" w:rsidRPr="00B527C7">
        <w:rPr>
          <w:rFonts w:ascii="Times New Roman" w:hAnsi="Times New Roman" w:cs="Times New Roman"/>
          <w:sz w:val="24"/>
          <w:szCs w:val="24"/>
        </w:rPr>
        <w:t>India</w:t>
      </w:r>
      <w:r w:rsidR="009C1230">
        <w:rPr>
          <w:rFonts w:ascii="Times New Roman" w:hAnsi="Times New Roman" w:cs="Times New Roman"/>
          <w:sz w:val="24"/>
          <w:szCs w:val="24"/>
        </w:rPr>
        <w:t>.</w:t>
      </w:r>
      <w:r w:rsidR="00F9122F">
        <w:rPr>
          <w:rFonts w:ascii="Times New Roman" w:hAnsi="Times New Roman" w:cs="Times New Roman"/>
          <w:sz w:val="24"/>
          <w:szCs w:val="24"/>
        </w:rPr>
        <w:t xml:space="preserve">  All of the previously discussed external environment</w:t>
      </w:r>
      <w:r w:rsidR="00594CC1">
        <w:rPr>
          <w:rFonts w:ascii="Times New Roman" w:hAnsi="Times New Roman" w:cs="Times New Roman"/>
          <w:sz w:val="24"/>
          <w:szCs w:val="24"/>
        </w:rPr>
        <w:t>al</w:t>
      </w:r>
      <w:r w:rsidR="00F9122F">
        <w:rPr>
          <w:rFonts w:ascii="Times New Roman" w:hAnsi="Times New Roman" w:cs="Times New Roman"/>
          <w:sz w:val="24"/>
          <w:szCs w:val="24"/>
        </w:rPr>
        <w:t xml:space="preserve"> influences </w:t>
      </w:r>
      <w:r w:rsidR="00FE2F8B">
        <w:rPr>
          <w:rFonts w:ascii="Times New Roman" w:hAnsi="Times New Roman" w:cs="Times New Roman"/>
          <w:sz w:val="24"/>
          <w:szCs w:val="24"/>
        </w:rPr>
        <w:t>that apply to the domestic operations in the United States, also apply to the performance expectations of the offshore processing vendor in India.  It is important to note however, that the internal environmental factors are what have the most influence on the behaviors of the offshore personnel</w:t>
      </w:r>
      <w:r w:rsidR="00F63F32">
        <w:rPr>
          <w:rFonts w:ascii="Times New Roman" w:hAnsi="Times New Roman" w:cs="Times New Roman"/>
          <w:sz w:val="24"/>
          <w:szCs w:val="24"/>
        </w:rPr>
        <w:t xml:space="preserve"> themselves</w:t>
      </w:r>
      <w:r w:rsidR="00FE2F8B">
        <w:rPr>
          <w:rFonts w:ascii="Times New Roman" w:hAnsi="Times New Roman" w:cs="Times New Roman"/>
          <w:sz w:val="24"/>
          <w:szCs w:val="24"/>
        </w:rPr>
        <w:t xml:space="preserve">.  </w:t>
      </w:r>
    </w:p>
    <w:p w:rsidR="00B2392E" w:rsidRDefault="00B2392E" w:rsidP="00B527C7">
      <w:pPr>
        <w:spacing w:line="480" w:lineRule="auto"/>
        <w:rPr>
          <w:rFonts w:ascii="Times New Roman" w:hAnsi="Times New Roman" w:cs="Times New Roman"/>
          <w:sz w:val="24"/>
          <w:szCs w:val="24"/>
        </w:rPr>
      </w:pPr>
      <w:r w:rsidRPr="00B2392E">
        <w:rPr>
          <w:rFonts w:ascii="Times New Roman" w:hAnsi="Times New Roman" w:cs="Times New Roman"/>
          <w:noProof/>
          <w:sz w:val="24"/>
          <w:szCs w:val="24"/>
          <w:lang w:val="en-US" w:eastAsia="en-US"/>
        </w:rPr>
        <w:drawing>
          <wp:inline distT="0" distB="0" distL="0" distR="0">
            <wp:extent cx="6169609" cy="4785403"/>
            <wp:effectExtent l="19050" t="19050" r="21641" b="15197"/>
            <wp:docPr id="3" name="Picture 0" descr="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JPG"/>
                    <pic:cNvPicPr/>
                  </pic:nvPicPr>
                  <pic:blipFill>
                    <a:blip r:embed="rId5" cstate="print"/>
                    <a:stretch>
                      <a:fillRect/>
                    </a:stretch>
                  </pic:blipFill>
                  <pic:spPr>
                    <a:xfrm>
                      <a:off x="0" y="0"/>
                      <a:ext cx="6173639" cy="4788529"/>
                    </a:xfrm>
                    <a:prstGeom prst="rect">
                      <a:avLst/>
                    </a:prstGeom>
                    <a:ln>
                      <a:solidFill>
                        <a:schemeClr val="accent1"/>
                      </a:solidFill>
                    </a:ln>
                  </pic:spPr>
                </pic:pic>
              </a:graphicData>
            </a:graphic>
          </wp:inline>
        </w:drawing>
      </w:r>
    </w:p>
    <w:p w:rsidR="00594CC1" w:rsidRDefault="00594CC1" w:rsidP="00594CC1">
      <w:pPr>
        <w:spacing w:line="480" w:lineRule="auto"/>
        <w:rPr>
          <w:rFonts w:ascii="Times New Roman" w:hAnsi="Times New Roman" w:cs="Times New Roman"/>
          <w:sz w:val="24"/>
          <w:szCs w:val="24"/>
        </w:rPr>
      </w:pPr>
      <w:r w:rsidRPr="00594CC1">
        <w:rPr>
          <w:rFonts w:ascii="Times New Roman" w:hAnsi="Times New Roman" w:cs="Times New Roman"/>
          <w:b/>
          <w:sz w:val="24"/>
          <w:szCs w:val="24"/>
        </w:rPr>
        <w:lastRenderedPageBreak/>
        <w:t>Drivers of the Performance Gaps</w:t>
      </w:r>
    </w:p>
    <w:p w:rsidR="00D75DA8" w:rsidRDefault="00594CC1" w:rsidP="00B527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task of customer correspondence encompasses responding to both general and policy specific customer inquiries that are received via email and </w:t>
      </w:r>
      <w:r w:rsidR="00864D8C">
        <w:rPr>
          <w:rFonts w:ascii="Times New Roman" w:hAnsi="Times New Roman" w:cs="Times New Roman"/>
          <w:sz w:val="24"/>
          <w:szCs w:val="24"/>
        </w:rPr>
        <w:t xml:space="preserve">the </w:t>
      </w:r>
      <w:r>
        <w:rPr>
          <w:rFonts w:ascii="Times New Roman" w:hAnsi="Times New Roman" w:cs="Times New Roman"/>
          <w:sz w:val="24"/>
          <w:szCs w:val="24"/>
        </w:rPr>
        <w:t xml:space="preserve">traditional post office letter medium.  After Super Century successfully migrated premium application and simple policy accounting measures to the offshore vendor, upper management began to consider transferring other processes as well.  </w:t>
      </w:r>
      <w:r w:rsidR="00D32B6B">
        <w:rPr>
          <w:rFonts w:ascii="Times New Roman" w:hAnsi="Times New Roman" w:cs="Times New Roman"/>
          <w:sz w:val="24"/>
          <w:szCs w:val="24"/>
        </w:rPr>
        <w:t>Because of the cultural differences and language barrier there was initial hesitation to allow the offshore associates to respond directly to customer</w:t>
      </w:r>
      <w:r w:rsidR="00864D8C">
        <w:rPr>
          <w:rFonts w:ascii="Times New Roman" w:hAnsi="Times New Roman" w:cs="Times New Roman"/>
          <w:sz w:val="24"/>
          <w:szCs w:val="24"/>
        </w:rPr>
        <w:t>s</w:t>
      </w:r>
      <w:r w:rsidR="00D32B6B">
        <w:rPr>
          <w:rFonts w:ascii="Times New Roman" w:hAnsi="Times New Roman" w:cs="Times New Roman"/>
          <w:sz w:val="24"/>
          <w:szCs w:val="24"/>
        </w:rPr>
        <w:t xml:space="preserve">.  However, several canned response letters existed and several of these letters were being sent for general responses to other transactions, such as change confirmations and billing application notices.  One major difference between these transactions and general correspondence is that the canned letters already possess several pre-determined variables to choose from to address common situations.  This is not the case for situations that call for a detailed and </w:t>
      </w:r>
      <w:r w:rsidR="00D32B6B" w:rsidRPr="00FD742A">
        <w:rPr>
          <w:rFonts w:ascii="Times New Roman" w:hAnsi="Times New Roman" w:cs="Times New Roman"/>
          <w:sz w:val="24"/>
          <w:szCs w:val="24"/>
        </w:rPr>
        <w:t xml:space="preserve">unique response.  </w:t>
      </w:r>
      <w:r w:rsidR="001B52DA" w:rsidRPr="00FD742A">
        <w:rPr>
          <w:rFonts w:ascii="Times New Roman" w:hAnsi="Times New Roman" w:cs="Times New Roman"/>
          <w:sz w:val="24"/>
          <w:szCs w:val="24"/>
        </w:rPr>
        <w:t xml:space="preserve">Even with the canned responses already available, the </w:t>
      </w:r>
      <w:r w:rsidR="00B527C7" w:rsidRPr="00FD742A">
        <w:rPr>
          <w:rFonts w:ascii="Times New Roman" w:hAnsi="Times New Roman" w:cs="Times New Roman"/>
          <w:sz w:val="24"/>
          <w:szCs w:val="24"/>
        </w:rPr>
        <w:t xml:space="preserve">offshore team </w:t>
      </w:r>
      <w:r w:rsidR="001B52DA" w:rsidRPr="00FD742A">
        <w:rPr>
          <w:rFonts w:ascii="Times New Roman" w:hAnsi="Times New Roman" w:cs="Times New Roman"/>
          <w:sz w:val="24"/>
          <w:szCs w:val="24"/>
        </w:rPr>
        <w:t>eventually reached a point where the</w:t>
      </w:r>
      <w:r w:rsidR="00FD742A" w:rsidRPr="00FD742A">
        <w:rPr>
          <w:rFonts w:ascii="Times New Roman" w:hAnsi="Times New Roman" w:cs="Times New Roman"/>
          <w:sz w:val="24"/>
          <w:szCs w:val="24"/>
        </w:rPr>
        <w:t>re</w:t>
      </w:r>
      <w:r w:rsidR="001B52DA" w:rsidRPr="00FD742A">
        <w:rPr>
          <w:rFonts w:ascii="Times New Roman" w:hAnsi="Times New Roman" w:cs="Times New Roman"/>
          <w:sz w:val="24"/>
          <w:szCs w:val="24"/>
        </w:rPr>
        <w:t xml:space="preserve"> </w:t>
      </w:r>
      <w:r w:rsidR="00864D8C" w:rsidRPr="00FD742A">
        <w:rPr>
          <w:rFonts w:ascii="Times New Roman" w:hAnsi="Times New Roman" w:cs="Times New Roman"/>
          <w:sz w:val="24"/>
          <w:szCs w:val="24"/>
        </w:rPr>
        <w:t xml:space="preserve">was a </w:t>
      </w:r>
      <w:r w:rsidR="001B52DA" w:rsidRPr="00FD742A">
        <w:rPr>
          <w:rFonts w:ascii="Times New Roman" w:hAnsi="Times New Roman" w:cs="Times New Roman"/>
          <w:sz w:val="24"/>
          <w:szCs w:val="24"/>
        </w:rPr>
        <w:t xml:space="preserve">need to use free form letters that allow an open response the customer.  As previously stated however, language barriers, lack of specific policy knowledge and several other factors led to responses generated by offshore representatives that delivered inaccurate and even misleading information.  </w:t>
      </w:r>
      <w:r w:rsidR="00F87702" w:rsidRPr="00FD742A">
        <w:rPr>
          <w:rFonts w:ascii="Times New Roman" w:hAnsi="Times New Roman" w:cs="Times New Roman"/>
          <w:sz w:val="24"/>
          <w:szCs w:val="24"/>
        </w:rPr>
        <w:tab/>
      </w:r>
      <w:r w:rsidR="001B52DA" w:rsidRPr="00FD742A">
        <w:rPr>
          <w:rFonts w:ascii="Times New Roman" w:hAnsi="Times New Roman" w:cs="Times New Roman"/>
          <w:sz w:val="24"/>
          <w:szCs w:val="24"/>
        </w:rPr>
        <w:t>Upper management recognizes that a</w:t>
      </w:r>
      <w:r w:rsidR="00B527C7" w:rsidRPr="00FD742A">
        <w:rPr>
          <w:rFonts w:ascii="Times New Roman" w:hAnsi="Times New Roman" w:cs="Times New Roman"/>
          <w:sz w:val="24"/>
          <w:szCs w:val="24"/>
        </w:rPr>
        <w:t xml:space="preserve">ll of the necessary training </w:t>
      </w:r>
      <w:r w:rsidR="001B52DA" w:rsidRPr="00FD742A">
        <w:rPr>
          <w:rFonts w:ascii="Times New Roman" w:hAnsi="Times New Roman" w:cs="Times New Roman"/>
          <w:sz w:val="24"/>
          <w:szCs w:val="24"/>
        </w:rPr>
        <w:t>was executed before representatives in India were allowed to proceed, but much of this training was implemented in the same way it was to onshore representatives who posse</w:t>
      </w:r>
      <w:r w:rsidR="005C6834" w:rsidRPr="00FD742A">
        <w:rPr>
          <w:rFonts w:ascii="Times New Roman" w:hAnsi="Times New Roman" w:cs="Times New Roman"/>
          <w:sz w:val="24"/>
          <w:szCs w:val="24"/>
        </w:rPr>
        <w:t>s</w:t>
      </w:r>
      <w:r w:rsidR="001B52DA" w:rsidRPr="00FD742A">
        <w:rPr>
          <w:rFonts w:ascii="Times New Roman" w:hAnsi="Times New Roman" w:cs="Times New Roman"/>
          <w:sz w:val="24"/>
          <w:szCs w:val="24"/>
        </w:rPr>
        <w:t>s</w:t>
      </w:r>
      <w:r w:rsidR="001B52DA">
        <w:rPr>
          <w:rFonts w:ascii="Times New Roman" w:hAnsi="Times New Roman" w:cs="Times New Roman"/>
          <w:sz w:val="24"/>
          <w:szCs w:val="24"/>
        </w:rPr>
        <w:t xml:space="preserve"> English as their first language.  Several resources including American terminology including business writing guide</w:t>
      </w:r>
      <w:r w:rsidR="00A71600">
        <w:rPr>
          <w:rFonts w:ascii="Times New Roman" w:hAnsi="Times New Roman" w:cs="Times New Roman"/>
          <w:sz w:val="24"/>
          <w:szCs w:val="24"/>
        </w:rPr>
        <w:t xml:space="preserve">lines were provided.  Even with these tools available, the lack of policy specific knowledge across all offshore representatives </w:t>
      </w:r>
      <w:r w:rsidR="00B527C7" w:rsidRPr="00B527C7">
        <w:rPr>
          <w:rFonts w:ascii="Times New Roman" w:hAnsi="Times New Roman" w:cs="Times New Roman"/>
          <w:sz w:val="24"/>
          <w:szCs w:val="24"/>
        </w:rPr>
        <w:t>was</w:t>
      </w:r>
      <w:r w:rsidR="00A71600">
        <w:rPr>
          <w:rFonts w:ascii="Times New Roman" w:hAnsi="Times New Roman" w:cs="Times New Roman"/>
          <w:sz w:val="24"/>
          <w:szCs w:val="24"/>
        </w:rPr>
        <w:t xml:space="preserve"> inconsistent.  This along with a high turnover rate greatly contributed to the problems generated by allowing free form responses to customer</w:t>
      </w:r>
      <w:r w:rsidR="00864D8C">
        <w:rPr>
          <w:rFonts w:ascii="Times New Roman" w:hAnsi="Times New Roman" w:cs="Times New Roman"/>
          <w:sz w:val="24"/>
          <w:szCs w:val="24"/>
        </w:rPr>
        <w:t>s</w:t>
      </w:r>
      <w:r w:rsidR="00A71600">
        <w:rPr>
          <w:rFonts w:ascii="Times New Roman" w:hAnsi="Times New Roman" w:cs="Times New Roman"/>
          <w:sz w:val="24"/>
          <w:szCs w:val="24"/>
        </w:rPr>
        <w:t xml:space="preserve"> by the </w:t>
      </w:r>
      <w:r w:rsidR="00A71600">
        <w:rPr>
          <w:rFonts w:ascii="Times New Roman" w:hAnsi="Times New Roman" w:cs="Times New Roman"/>
          <w:sz w:val="24"/>
          <w:szCs w:val="24"/>
        </w:rPr>
        <w:lastRenderedPageBreak/>
        <w:t xml:space="preserve">offshore vendor associates.  </w:t>
      </w:r>
      <w:r w:rsidR="00636D58">
        <w:rPr>
          <w:rFonts w:ascii="Times New Roman" w:hAnsi="Times New Roman" w:cs="Times New Roman"/>
          <w:sz w:val="24"/>
          <w:szCs w:val="24"/>
        </w:rPr>
        <w:t>Needless to say, the letters that were sent</w:t>
      </w:r>
      <w:r w:rsidR="00FB2817">
        <w:rPr>
          <w:rFonts w:ascii="Times New Roman" w:hAnsi="Times New Roman" w:cs="Times New Roman"/>
          <w:sz w:val="24"/>
          <w:szCs w:val="24"/>
        </w:rPr>
        <w:t xml:space="preserve"> with incorrect information and even grammar errors </w:t>
      </w:r>
      <w:r w:rsidR="00636D58">
        <w:rPr>
          <w:rFonts w:ascii="Times New Roman" w:hAnsi="Times New Roman" w:cs="Times New Roman"/>
          <w:sz w:val="24"/>
          <w:szCs w:val="24"/>
        </w:rPr>
        <w:t xml:space="preserve">required additional apology letters to reconcile the incorrectly relayed information.  This also lead to a higher inventory, as newer incoming requests could not be addressed at the regular rate that aligned with the company's internally designated Service Level Agreements (SLA).  </w:t>
      </w:r>
      <w:r w:rsidR="00A71600">
        <w:rPr>
          <w:rFonts w:ascii="Times New Roman" w:hAnsi="Times New Roman" w:cs="Times New Roman"/>
          <w:sz w:val="24"/>
          <w:szCs w:val="24"/>
        </w:rPr>
        <w:t xml:space="preserve">Quality control </w:t>
      </w:r>
      <w:r w:rsidR="00636D58">
        <w:rPr>
          <w:rFonts w:ascii="Times New Roman" w:hAnsi="Times New Roman" w:cs="Times New Roman"/>
          <w:sz w:val="24"/>
          <w:szCs w:val="24"/>
        </w:rPr>
        <w:t xml:space="preserve">also </w:t>
      </w:r>
      <w:r w:rsidR="00D75DA8">
        <w:rPr>
          <w:rFonts w:ascii="Times New Roman" w:hAnsi="Times New Roman" w:cs="Times New Roman"/>
          <w:sz w:val="24"/>
          <w:szCs w:val="24"/>
        </w:rPr>
        <w:t xml:space="preserve">recognized these inaccuracies </w:t>
      </w:r>
      <w:r w:rsidR="00A71600">
        <w:rPr>
          <w:rFonts w:ascii="Times New Roman" w:hAnsi="Times New Roman" w:cs="Times New Roman"/>
          <w:sz w:val="24"/>
          <w:szCs w:val="24"/>
        </w:rPr>
        <w:t>and</w:t>
      </w:r>
      <w:r w:rsidR="00D75DA8">
        <w:rPr>
          <w:rFonts w:ascii="Times New Roman" w:hAnsi="Times New Roman" w:cs="Times New Roman"/>
          <w:sz w:val="24"/>
          <w:szCs w:val="24"/>
        </w:rPr>
        <w:t xml:space="preserve"> began to designate fail status on the randomly selected audited letters.  This </w:t>
      </w:r>
      <w:r w:rsidR="00636D58">
        <w:rPr>
          <w:rFonts w:ascii="Times New Roman" w:hAnsi="Times New Roman" w:cs="Times New Roman"/>
          <w:sz w:val="24"/>
          <w:szCs w:val="24"/>
        </w:rPr>
        <w:t xml:space="preserve">greatly </w:t>
      </w:r>
      <w:r w:rsidR="00111BBA">
        <w:rPr>
          <w:rFonts w:ascii="Times New Roman" w:hAnsi="Times New Roman" w:cs="Times New Roman"/>
          <w:sz w:val="24"/>
          <w:szCs w:val="24"/>
        </w:rPr>
        <w:t>discourages</w:t>
      </w:r>
      <w:r w:rsidR="00D75DA8">
        <w:rPr>
          <w:rFonts w:ascii="Times New Roman" w:hAnsi="Times New Roman" w:cs="Times New Roman"/>
          <w:sz w:val="24"/>
          <w:szCs w:val="24"/>
        </w:rPr>
        <w:t xml:space="preserve"> </w:t>
      </w:r>
      <w:r w:rsidR="00636D58">
        <w:rPr>
          <w:rFonts w:ascii="Times New Roman" w:hAnsi="Times New Roman" w:cs="Times New Roman"/>
          <w:sz w:val="24"/>
          <w:szCs w:val="24"/>
        </w:rPr>
        <w:t xml:space="preserve">the offshore vendors from processing regular correspondence </w:t>
      </w:r>
      <w:r w:rsidR="00111BBA">
        <w:rPr>
          <w:rFonts w:ascii="Times New Roman" w:hAnsi="Times New Roman" w:cs="Times New Roman"/>
          <w:sz w:val="24"/>
          <w:szCs w:val="24"/>
        </w:rPr>
        <w:t xml:space="preserve">that requires a freeform response, thus they </w:t>
      </w:r>
      <w:r w:rsidR="00111BBA" w:rsidRPr="005C6834">
        <w:rPr>
          <w:rFonts w:ascii="Times New Roman" w:hAnsi="Times New Roman" w:cs="Times New Roman"/>
          <w:sz w:val="24"/>
          <w:szCs w:val="24"/>
        </w:rPr>
        <w:t>often resort</w:t>
      </w:r>
      <w:r w:rsidR="00FB2817" w:rsidRPr="005C6834">
        <w:rPr>
          <w:rFonts w:ascii="Times New Roman" w:hAnsi="Times New Roman" w:cs="Times New Roman"/>
          <w:sz w:val="24"/>
          <w:szCs w:val="24"/>
        </w:rPr>
        <w:t>ed</w:t>
      </w:r>
      <w:r w:rsidR="00111BBA" w:rsidRPr="005C6834">
        <w:rPr>
          <w:rFonts w:ascii="Times New Roman" w:hAnsi="Times New Roman" w:cs="Times New Roman"/>
          <w:sz w:val="24"/>
          <w:szCs w:val="24"/>
        </w:rPr>
        <w:t xml:space="preserve"> to a canned response that does not provide the requested information.  This also </w:t>
      </w:r>
      <w:r w:rsidR="005C6834" w:rsidRPr="005C6834">
        <w:rPr>
          <w:rFonts w:ascii="Times New Roman" w:hAnsi="Times New Roman" w:cs="Times New Roman"/>
          <w:sz w:val="24"/>
          <w:szCs w:val="24"/>
        </w:rPr>
        <w:t>le</w:t>
      </w:r>
      <w:r w:rsidR="00111BBA" w:rsidRPr="005C6834">
        <w:rPr>
          <w:rFonts w:ascii="Times New Roman" w:hAnsi="Times New Roman" w:cs="Times New Roman"/>
          <w:sz w:val="24"/>
          <w:szCs w:val="24"/>
        </w:rPr>
        <w:t>d to</w:t>
      </w:r>
      <w:r w:rsidR="00636D58" w:rsidRPr="005C6834">
        <w:rPr>
          <w:rFonts w:ascii="Times New Roman" w:hAnsi="Times New Roman" w:cs="Times New Roman"/>
          <w:sz w:val="24"/>
          <w:szCs w:val="24"/>
        </w:rPr>
        <w:t xml:space="preserve"> an increase</w:t>
      </w:r>
      <w:r w:rsidR="00636D58">
        <w:rPr>
          <w:rFonts w:ascii="Times New Roman" w:hAnsi="Times New Roman" w:cs="Times New Roman"/>
          <w:sz w:val="24"/>
          <w:szCs w:val="24"/>
        </w:rPr>
        <w:t xml:space="preserve"> in questions relayed to the onshore team on what verbiage to </w:t>
      </w:r>
      <w:r w:rsidR="00111BBA">
        <w:rPr>
          <w:rFonts w:ascii="Times New Roman" w:hAnsi="Times New Roman" w:cs="Times New Roman"/>
          <w:sz w:val="24"/>
          <w:szCs w:val="24"/>
        </w:rPr>
        <w:t>use and what</w:t>
      </w:r>
      <w:r w:rsidR="00636D58">
        <w:rPr>
          <w:rFonts w:ascii="Times New Roman" w:hAnsi="Times New Roman" w:cs="Times New Roman"/>
          <w:sz w:val="24"/>
          <w:szCs w:val="24"/>
        </w:rPr>
        <w:t xml:space="preserve"> correct</w:t>
      </w:r>
      <w:r w:rsidR="00111BBA">
        <w:rPr>
          <w:rFonts w:ascii="Times New Roman" w:hAnsi="Times New Roman" w:cs="Times New Roman"/>
          <w:sz w:val="24"/>
          <w:szCs w:val="24"/>
        </w:rPr>
        <w:t xml:space="preserve"> policy information should be provided</w:t>
      </w:r>
      <w:r w:rsidR="00636D58">
        <w:rPr>
          <w:rFonts w:ascii="Times New Roman" w:hAnsi="Times New Roman" w:cs="Times New Roman"/>
          <w:sz w:val="24"/>
          <w:szCs w:val="24"/>
        </w:rPr>
        <w:t xml:space="preserve">.  The </w:t>
      </w:r>
      <w:r w:rsidR="000C0266">
        <w:rPr>
          <w:rFonts w:ascii="Times New Roman" w:hAnsi="Times New Roman" w:cs="Times New Roman"/>
          <w:sz w:val="24"/>
          <w:szCs w:val="24"/>
        </w:rPr>
        <w:t xml:space="preserve">following chart describes the performance gaps, desired </w:t>
      </w:r>
      <w:r w:rsidR="00111BBA">
        <w:rPr>
          <w:rFonts w:ascii="Times New Roman" w:hAnsi="Times New Roman" w:cs="Times New Roman"/>
          <w:sz w:val="24"/>
          <w:szCs w:val="24"/>
        </w:rPr>
        <w:t>state, actual state, assumed roo</w:t>
      </w:r>
      <w:r w:rsidR="000C0266">
        <w:rPr>
          <w:rFonts w:ascii="Times New Roman" w:hAnsi="Times New Roman" w:cs="Times New Roman"/>
          <w:sz w:val="24"/>
          <w:szCs w:val="24"/>
        </w:rPr>
        <w:t xml:space="preserve">t causes and type of performance block in accordance with Gilbert's Behavioral Engineering Model, or BEM </w:t>
      </w:r>
      <w:r w:rsidR="000C0266" w:rsidRPr="000C0266">
        <w:rPr>
          <w:rFonts w:ascii="Times New Roman" w:hAnsi="Times New Roman" w:cs="Times New Roman"/>
          <w:sz w:val="24"/>
          <w:szCs w:val="24"/>
        </w:rPr>
        <w:t>(</w:t>
      </w:r>
      <w:proofErr w:type="spellStart"/>
      <w:r w:rsidR="000C0266" w:rsidRPr="000C0266">
        <w:rPr>
          <w:rFonts w:ascii="Times New Roman" w:hAnsi="Times New Roman" w:cs="Times New Roman"/>
          <w:sz w:val="24"/>
          <w:szCs w:val="24"/>
        </w:rPr>
        <w:t>Stolovitch</w:t>
      </w:r>
      <w:proofErr w:type="spellEnd"/>
      <w:r w:rsidR="000C0266" w:rsidRPr="000C0266">
        <w:rPr>
          <w:rFonts w:ascii="Times New Roman" w:hAnsi="Times New Roman" w:cs="Times New Roman"/>
          <w:sz w:val="24"/>
          <w:szCs w:val="24"/>
        </w:rPr>
        <w:t xml:space="preserve">  &amp; Keeps, </w:t>
      </w:r>
      <w:r w:rsidR="00FB2817">
        <w:rPr>
          <w:rFonts w:ascii="Times New Roman" w:hAnsi="Times New Roman" w:cs="Times New Roman"/>
          <w:sz w:val="24"/>
          <w:szCs w:val="24"/>
        </w:rPr>
        <w:t>2</w:t>
      </w:r>
      <w:r w:rsidR="000C0266" w:rsidRPr="000C0266">
        <w:rPr>
          <w:rFonts w:ascii="Times New Roman" w:hAnsi="Times New Roman" w:cs="Times New Roman"/>
          <w:sz w:val="24"/>
          <w:szCs w:val="24"/>
        </w:rPr>
        <w:t>004).</w:t>
      </w:r>
    </w:p>
    <w:p w:rsidR="00D75DA8" w:rsidRDefault="000C0266" w:rsidP="00B527C7">
      <w:pPr>
        <w:spacing w:line="480" w:lineRule="auto"/>
        <w:rPr>
          <w:rFonts w:ascii="Times New Roman" w:hAnsi="Times New Roman" w:cs="Times New Roman"/>
          <w:sz w:val="24"/>
          <w:szCs w:val="24"/>
        </w:rPr>
      </w:pPr>
      <w:r w:rsidRPr="00594CC1">
        <w:rPr>
          <w:rFonts w:ascii="Times New Roman" w:hAnsi="Times New Roman" w:cs="Times New Roman"/>
          <w:b/>
          <w:sz w:val="24"/>
          <w:szCs w:val="24"/>
        </w:rPr>
        <w:t>Performance Gap</w:t>
      </w:r>
      <w:r>
        <w:rPr>
          <w:rFonts w:ascii="Times New Roman" w:hAnsi="Times New Roman" w:cs="Times New Roman"/>
          <w:b/>
          <w:sz w:val="24"/>
          <w:szCs w:val="24"/>
        </w:rPr>
        <w:t xml:space="preserve"> Details</w:t>
      </w:r>
    </w:p>
    <w:tbl>
      <w:tblPr>
        <w:tblStyle w:val="TableGrid"/>
        <w:tblW w:w="9648" w:type="dxa"/>
        <w:tblLayout w:type="fixed"/>
        <w:tblLook w:val="04A0"/>
      </w:tblPr>
      <w:tblGrid>
        <w:gridCol w:w="1548"/>
        <w:gridCol w:w="1800"/>
        <w:gridCol w:w="1640"/>
        <w:gridCol w:w="2770"/>
        <w:gridCol w:w="1890"/>
      </w:tblGrid>
      <w:tr w:rsidR="006C699E" w:rsidRPr="00230AA2" w:rsidTr="00111BBA">
        <w:trPr>
          <w:trHeight w:val="512"/>
        </w:trPr>
        <w:tc>
          <w:tcPr>
            <w:tcW w:w="1548" w:type="dxa"/>
          </w:tcPr>
          <w:p w:rsidR="00D75DA8" w:rsidRPr="00111BBA" w:rsidRDefault="00D75DA8" w:rsidP="00F24B58">
            <w:pPr>
              <w:rPr>
                <w:rFonts w:ascii="Times New Roman" w:hAnsi="Times New Roman" w:cs="Times New Roman"/>
                <w:b/>
              </w:rPr>
            </w:pPr>
            <w:r w:rsidRPr="00111BBA">
              <w:rPr>
                <w:rFonts w:ascii="Times New Roman" w:hAnsi="Times New Roman" w:cs="Times New Roman"/>
                <w:b/>
              </w:rPr>
              <w:t>Performance Gap: Description</w:t>
            </w:r>
          </w:p>
        </w:tc>
        <w:tc>
          <w:tcPr>
            <w:tcW w:w="1800" w:type="dxa"/>
          </w:tcPr>
          <w:p w:rsidR="00D75DA8" w:rsidRPr="00111BBA" w:rsidRDefault="00D75DA8" w:rsidP="00F24B58">
            <w:pPr>
              <w:rPr>
                <w:rFonts w:ascii="Times New Roman" w:hAnsi="Times New Roman" w:cs="Times New Roman"/>
                <w:b/>
              </w:rPr>
            </w:pPr>
            <w:r w:rsidRPr="00111BBA">
              <w:rPr>
                <w:rFonts w:ascii="Times New Roman" w:hAnsi="Times New Roman" w:cs="Times New Roman"/>
                <w:b/>
              </w:rPr>
              <w:t>Desired State</w:t>
            </w:r>
          </w:p>
        </w:tc>
        <w:tc>
          <w:tcPr>
            <w:tcW w:w="1640" w:type="dxa"/>
          </w:tcPr>
          <w:p w:rsidR="00D75DA8" w:rsidRPr="00111BBA" w:rsidRDefault="00D75DA8" w:rsidP="00F24B58">
            <w:pPr>
              <w:rPr>
                <w:rFonts w:ascii="Times New Roman" w:hAnsi="Times New Roman" w:cs="Times New Roman"/>
                <w:b/>
              </w:rPr>
            </w:pPr>
            <w:r w:rsidRPr="00111BBA">
              <w:rPr>
                <w:rFonts w:ascii="Times New Roman" w:hAnsi="Times New Roman" w:cs="Times New Roman"/>
                <w:b/>
              </w:rPr>
              <w:t>Actual State</w:t>
            </w:r>
          </w:p>
        </w:tc>
        <w:tc>
          <w:tcPr>
            <w:tcW w:w="2770" w:type="dxa"/>
          </w:tcPr>
          <w:p w:rsidR="00D75DA8" w:rsidRPr="00111BBA" w:rsidRDefault="00D75DA8" w:rsidP="00F24B58">
            <w:pPr>
              <w:rPr>
                <w:rFonts w:ascii="Times New Roman" w:hAnsi="Times New Roman" w:cs="Times New Roman"/>
                <w:b/>
              </w:rPr>
            </w:pPr>
            <w:r w:rsidRPr="00111BBA">
              <w:rPr>
                <w:rFonts w:ascii="Times New Roman" w:hAnsi="Times New Roman" w:cs="Times New Roman"/>
                <w:b/>
              </w:rPr>
              <w:t>Probable root cause(s)</w:t>
            </w:r>
          </w:p>
        </w:tc>
        <w:tc>
          <w:tcPr>
            <w:tcW w:w="1890" w:type="dxa"/>
          </w:tcPr>
          <w:p w:rsidR="00D75DA8" w:rsidRPr="00111BBA" w:rsidRDefault="00D75DA8" w:rsidP="00111BBA">
            <w:pPr>
              <w:rPr>
                <w:rFonts w:ascii="Times New Roman" w:hAnsi="Times New Roman" w:cs="Times New Roman"/>
                <w:b/>
              </w:rPr>
            </w:pPr>
            <w:r w:rsidRPr="00111BBA">
              <w:rPr>
                <w:rFonts w:ascii="Times New Roman" w:hAnsi="Times New Roman" w:cs="Times New Roman"/>
                <w:b/>
              </w:rPr>
              <w:t>Type (Gilbert’s B</w:t>
            </w:r>
            <w:r w:rsidR="00111BBA" w:rsidRPr="00111BBA">
              <w:rPr>
                <w:rFonts w:ascii="Times New Roman" w:hAnsi="Times New Roman" w:cs="Times New Roman"/>
                <w:b/>
              </w:rPr>
              <w:t>EM</w:t>
            </w:r>
            <w:r w:rsidRPr="00111BBA">
              <w:rPr>
                <w:rFonts w:ascii="Times New Roman" w:hAnsi="Times New Roman" w:cs="Times New Roman"/>
                <w:b/>
              </w:rPr>
              <w:t>)</w:t>
            </w:r>
          </w:p>
        </w:tc>
      </w:tr>
      <w:tr w:rsidR="006C699E" w:rsidRPr="00230AA2" w:rsidTr="00111BBA">
        <w:trPr>
          <w:trHeight w:val="1943"/>
        </w:trPr>
        <w:tc>
          <w:tcPr>
            <w:tcW w:w="1548" w:type="dxa"/>
          </w:tcPr>
          <w:p w:rsidR="00D75DA8" w:rsidRPr="00230AA2" w:rsidRDefault="000C0266" w:rsidP="00FB2817">
            <w:pPr>
              <w:rPr>
                <w:rFonts w:ascii="Times New Roman" w:hAnsi="Times New Roman" w:cs="Times New Roman"/>
              </w:rPr>
            </w:pPr>
            <w:r>
              <w:rPr>
                <w:rFonts w:ascii="Times New Roman" w:hAnsi="Times New Roman" w:cs="Times New Roman"/>
              </w:rPr>
              <w:t>Inadequately written free</w:t>
            </w:r>
            <w:r w:rsidR="00FB2817">
              <w:rPr>
                <w:rFonts w:ascii="Times New Roman" w:hAnsi="Times New Roman" w:cs="Times New Roman"/>
              </w:rPr>
              <w:t xml:space="preserve"> </w:t>
            </w:r>
            <w:r>
              <w:rPr>
                <w:rFonts w:ascii="Times New Roman" w:hAnsi="Times New Roman" w:cs="Times New Roman"/>
              </w:rPr>
              <w:t xml:space="preserve">form customer response letters  </w:t>
            </w:r>
            <w:r w:rsidR="00D75DA8" w:rsidRPr="00230AA2">
              <w:rPr>
                <w:rFonts w:ascii="Times New Roman" w:hAnsi="Times New Roman" w:cs="Times New Roman"/>
              </w:rPr>
              <w:t xml:space="preserve"> </w:t>
            </w:r>
          </w:p>
        </w:tc>
        <w:tc>
          <w:tcPr>
            <w:tcW w:w="1800" w:type="dxa"/>
          </w:tcPr>
          <w:p w:rsidR="00D75DA8" w:rsidRPr="00230AA2" w:rsidRDefault="000C0266" w:rsidP="000C0266">
            <w:pPr>
              <w:rPr>
                <w:rFonts w:ascii="Times New Roman" w:hAnsi="Times New Roman" w:cs="Times New Roman"/>
              </w:rPr>
            </w:pPr>
            <w:r>
              <w:rPr>
                <w:rFonts w:ascii="Times New Roman" w:hAnsi="Times New Roman" w:cs="Times New Roman"/>
              </w:rPr>
              <w:t>97% quality rating, based on monthly performance of letters audited by quality control</w:t>
            </w:r>
          </w:p>
        </w:tc>
        <w:tc>
          <w:tcPr>
            <w:tcW w:w="1640" w:type="dxa"/>
          </w:tcPr>
          <w:p w:rsidR="00D75DA8" w:rsidRPr="00230AA2" w:rsidRDefault="000C0266" w:rsidP="00F24B58">
            <w:pPr>
              <w:rPr>
                <w:rFonts w:ascii="Times New Roman" w:hAnsi="Times New Roman" w:cs="Times New Roman"/>
              </w:rPr>
            </w:pPr>
            <w:r>
              <w:rPr>
                <w:rFonts w:ascii="Times New Roman" w:hAnsi="Times New Roman" w:cs="Times New Roman"/>
              </w:rPr>
              <w:t>60% quality rating, based on monthly performance of letters audited by quality control</w:t>
            </w:r>
          </w:p>
        </w:tc>
        <w:tc>
          <w:tcPr>
            <w:tcW w:w="2770" w:type="dxa"/>
          </w:tcPr>
          <w:p w:rsidR="00D75DA8" w:rsidRPr="00230AA2" w:rsidRDefault="000C0266" w:rsidP="00616F45">
            <w:pPr>
              <w:rPr>
                <w:rFonts w:ascii="Times New Roman" w:hAnsi="Times New Roman" w:cs="Times New Roman"/>
              </w:rPr>
            </w:pPr>
            <w:r>
              <w:rPr>
                <w:rFonts w:ascii="Times New Roman" w:hAnsi="Times New Roman" w:cs="Times New Roman"/>
              </w:rPr>
              <w:t xml:space="preserve">Knowledge </w:t>
            </w:r>
            <w:r w:rsidR="00D75DA8" w:rsidRPr="00230AA2">
              <w:rPr>
                <w:rFonts w:ascii="Times New Roman" w:hAnsi="Times New Roman" w:cs="Times New Roman"/>
              </w:rPr>
              <w:t>-</w:t>
            </w:r>
            <w:r>
              <w:rPr>
                <w:rFonts w:ascii="Times New Roman" w:hAnsi="Times New Roman" w:cs="Times New Roman"/>
              </w:rPr>
              <w:t xml:space="preserve"> English is not</w:t>
            </w:r>
            <w:r w:rsidR="00FB2817">
              <w:rPr>
                <w:rFonts w:ascii="Times New Roman" w:hAnsi="Times New Roman" w:cs="Times New Roman"/>
              </w:rPr>
              <w:t xml:space="preserve"> the</w:t>
            </w:r>
            <w:r>
              <w:rPr>
                <w:rFonts w:ascii="Times New Roman" w:hAnsi="Times New Roman" w:cs="Times New Roman"/>
              </w:rPr>
              <w:t xml:space="preserve"> primary language</w:t>
            </w:r>
            <w:r w:rsidR="00616F45">
              <w:rPr>
                <w:rFonts w:ascii="Times New Roman" w:hAnsi="Times New Roman" w:cs="Times New Roman"/>
              </w:rPr>
              <w:t xml:space="preserve"> of offshore associates</w:t>
            </w:r>
            <w:r>
              <w:rPr>
                <w:rFonts w:ascii="Times New Roman" w:hAnsi="Times New Roman" w:cs="Times New Roman"/>
              </w:rPr>
              <w:t xml:space="preserve"> </w:t>
            </w:r>
            <w:r w:rsidR="00AC087E">
              <w:rPr>
                <w:rFonts w:ascii="Times New Roman" w:hAnsi="Times New Roman" w:cs="Times New Roman"/>
              </w:rPr>
              <w:t>Resources</w:t>
            </w:r>
            <w:r w:rsidR="00D75DA8" w:rsidRPr="00230AA2">
              <w:rPr>
                <w:rFonts w:ascii="Times New Roman" w:hAnsi="Times New Roman" w:cs="Times New Roman"/>
              </w:rPr>
              <w:t xml:space="preserve"> – </w:t>
            </w:r>
            <w:r w:rsidR="00AC087E">
              <w:rPr>
                <w:rFonts w:ascii="Times New Roman" w:hAnsi="Times New Roman" w:cs="Times New Roman"/>
              </w:rPr>
              <w:t>Offshore associates resort to free</w:t>
            </w:r>
            <w:r w:rsidR="00FB2817">
              <w:rPr>
                <w:rFonts w:ascii="Times New Roman" w:hAnsi="Times New Roman" w:cs="Times New Roman"/>
              </w:rPr>
              <w:t xml:space="preserve"> </w:t>
            </w:r>
            <w:r w:rsidR="00AC087E">
              <w:rPr>
                <w:rFonts w:ascii="Times New Roman" w:hAnsi="Times New Roman" w:cs="Times New Roman"/>
              </w:rPr>
              <w:t>form letters due to lack of sufficient existing canned letters</w:t>
            </w:r>
          </w:p>
        </w:tc>
        <w:tc>
          <w:tcPr>
            <w:tcW w:w="1890" w:type="dxa"/>
          </w:tcPr>
          <w:p w:rsidR="00D75DA8" w:rsidRPr="00230AA2" w:rsidRDefault="00AC087E" w:rsidP="00F24B58">
            <w:pPr>
              <w:rPr>
                <w:rFonts w:ascii="Times New Roman" w:hAnsi="Times New Roman" w:cs="Times New Roman"/>
              </w:rPr>
            </w:pPr>
            <w:r>
              <w:rPr>
                <w:rFonts w:ascii="Times New Roman" w:hAnsi="Times New Roman" w:cs="Times New Roman"/>
              </w:rPr>
              <w:t>Knowledge</w:t>
            </w:r>
            <w:r w:rsidR="00D75DA8" w:rsidRPr="00230AA2">
              <w:rPr>
                <w:rFonts w:ascii="Times New Roman" w:hAnsi="Times New Roman" w:cs="Times New Roman"/>
              </w:rPr>
              <w:t xml:space="preserve">, </w:t>
            </w:r>
            <w:r>
              <w:rPr>
                <w:rFonts w:ascii="Times New Roman" w:hAnsi="Times New Roman" w:cs="Times New Roman"/>
              </w:rPr>
              <w:t>Resources</w:t>
            </w:r>
          </w:p>
        </w:tc>
      </w:tr>
      <w:tr w:rsidR="006C699E" w:rsidRPr="00230AA2" w:rsidTr="00111BBA">
        <w:trPr>
          <w:trHeight w:val="47"/>
        </w:trPr>
        <w:tc>
          <w:tcPr>
            <w:tcW w:w="1548" w:type="dxa"/>
          </w:tcPr>
          <w:p w:rsidR="00D75DA8" w:rsidRPr="00230AA2" w:rsidRDefault="00CD2158" w:rsidP="00F24B58">
            <w:pPr>
              <w:rPr>
                <w:rFonts w:ascii="Times New Roman" w:hAnsi="Times New Roman" w:cs="Times New Roman"/>
              </w:rPr>
            </w:pPr>
            <w:r>
              <w:rPr>
                <w:rFonts w:ascii="Times New Roman" w:hAnsi="Times New Roman" w:cs="Times New Roman"/>
              </w:rPr>
              <w:t>Increased inventory to process.</w:t>
            </w:r>
            <w:r w:rsidR="006C699E">
              <w:rPr>
                <w:rFonts w:ascii="Times New Roman" w:hAnsi="Times New Roman" w:cs="Times New Roman"/>
              </w:rPr>
              <w:t xml:space="preserve"> Regular processing is discouraged and therefore Service Level Agreements are not met</w:t>
            </w:r>
          </w:p>
        </w:tc>
        <w:tc>
          <w:tcPr>
            <w:tcW w:w="1800" w:type="dxa"/>
          </w:tcPr>
          <w:p w:rsidR="009630F5" w:rsidRPr="009630F5" w:rsidRDefault="009630F5" w:rsidP="009630F5">
            <w:pPr>
              <w:rPr>
                <w:rFonts w:ascii="Times New Roman" w:hAnsi="Times New Roman" w:cs="Times New Roman"/>
              </w:rPr>
            </w:pPr>
            <w:r w:rsidRPr="009630F5">
              <w:rPr>
                <w:rFonts w:ascii="Times New Roman" w:hAnsi="Times New Roman" w:cs="Times New Roman"/>
              </w:rPr>
              <w:t>Less than 50 responses pending completion daily</w:t>
            </w:r>
            <w:r w:rsidR="006C699E">
              <w:rPr>
                <w:rFonts w:ascii="Times New Roman" w:hAnsi="Times New Roman" w:cs="Times New Roman"/>
              </w:rPr>
              <w:t>.</w:t>
            </w:r>
          </w:p>
          <w:p w:rsidR="009630F5" w:rsidRPr="00230AA2" w:rsidRDefault="009630F5" w:rsidP="00111BBA">
            <w:pPr>
              <w:rPr>
                <w:rFonts w:ascii="Times New Roman" w:hAnsi="Times New Roman" w:cs="Times New Roman"/>
              </w:rPr>
            </w:pPr>
            <w:r w:rsidRPr="009630F5">
              <w:rPr>
                <w:rFonts w:ascii="Times New Roman" w:hAnsi="Times New Roman" w:cs="Times New Roman"/>
              </w:rPr>
              <w:t>Inbound requests must be acknowledge</w:t>
            </w:r>
            <w:r w:rsidR="00111BBA">
              <w:rPr>
                <w:rFonts w:ascii="Times New Roman" w:hAnsi="Times New Roman" w:cs="Times New Roman"/>
              </w:rPr>
              <w:t>d for processing within 2 days of receipt of work</w:t>
            </w:r>
          </w:p>
        </w:tc>
        <w:tc>
          <w:tcPr>
            <w:tcW w:w="1640" w:type="dxa"/>
          </w:tcPr>
          <w:p w:rsidR="006C699E" w:rsidRPr="006C699E" w:rsidRDefault="006C699E" w:rsidP="006C699E">
            <w:pPr>
              <w:rPr>
                <w:rFonts w:ascii="Times New Roman" w:hAnsi="Times New Roman" w:cs="Times New Roman"/>
              </w:rPr>
            </w:pPr>
            <w:r w:rsidRPr="006C699E">
              <w:rPr>
                <w:rFonts w:ascii="Times New Roman" w:hAnsi="Times New Roman" w:cs="Times New Roman"/>
              </w:rPr>
              <w:t>Over 100 responses pending completion daily</w:t>
            </w:r>
            <w:r>
              <w:rPr>
                <w:rFonts w:ascii="Times New Roman" w:hAnsi="Times New Roman" w:cs="Times New Roman"/>
              </w:rPr>
              <w:t>.</w:t>
            </w:r>
          </w:p>
          <w:p w:rsidR="00D75DA8" w:rsidRPr="00230AA2" w:rsidRDefault="006C699E" w:rsidP="00111BBA">
            <w:pPr>
              <w:rPr>
                <w:rFonts w:ascii="Times New Roman" w:hAnsi="Times New Roman" w:cs="Times New Roman"/>
              </w:rPr>
            </w:pPr>
            <w:r w:rsidRPr="006C699E">
              <w:rPr>
                <w:rFonts w:ascii="Times New Roman" w:hAnsi="Times New Roman" w:cs="Times New Roman"/>
              </w:rPr>
              <w:t xml:space="preserve">Inbound requests are acknowledged  over 5 days </w:t>
            </w:r>
            <w:r w:rsidR="00111BBA">
              <w:rPr>
                <w:rFonts w:ascii="Times New Roman" w:hAnsi="Times New Roman" w:cs="Times New Roman"/>
              </w:rPr>
              <w:t xml:space="preserve">of </w:t>
            </w:r>
            <w:r>
              <w:rPr>
                <w:rFonts w:ascii="Times New Roman" w:hAnsi="Times New Roman" w:cs="Times New Roman"/>
              </w:rPr>
              <w:t xml:space="preserve"> </w:t>
            </w:r>
            <w:r w:rsidRPr="006C699E">
              <w:rPr>
                <w:rFonts w:ascii="Times New Roman" w:hAnsi="Times New Roman" w:cs="Times New Roman"/>
              </w:rPr>
              <w:t>receipt</w:t>
            </w:r>
            <w:r w:rsidR="00111BBA">
              <w:rPr>
                <w:rFonts w:ascii="Times New Roman" w:hAnsi="Times New Roman" w:cs="Times New Roman"/>
              </w:rPr>
              <w:t xml:space="preserve"> of work</w:t>
            </w:r>
          </w:p>
        </w:tc>
        <w:tc>
          <w:tcPr>
            <w:tcW w:w="2770" w:type="dxa"/>
          </w:tcPr>
          <w:p w:rsidR="009630F5" w:rsidRDefault="00F55185" w:rsidP="00F24B58">
            <w:pPr>
              <w:rPr>
                <w:rFonts w:ascii="Times New Roman" w:hAnsi="Times New Roman" w:cs="Times New Roman"/>
              </w:rPr>
            </w:pPr>
            <w:r>
              <w:rPr>
                <w:rFonts w:ascii="Times New Roman" w:hAnsi="Times New Roman" w:cs="Times New Roman"/>
              </w:rPr>
              <w:t>Information</w:t>
            </w:r>
            <w:r w:rsidR="00CD2158">
              <w:rPr>
                <w:rFonts w:ascii="Times New Roman" w:hAnsi="Times New Roman" w:cs="Times New Roman"/>
              </w:rPr>
              <w:t xml:space="preserve"> </w:t>
            </w:r>
            <w:r w:rsidR="00D75DA8" w:rsidRPr="00230AA2">
              <w:rPr>
                <w:rFonts w:ascii="Times New Roman" w:hAnsi="Times New Roman" w:cs="Times New Roman"/>
              </w:rPr>
              <w:t xml:space="preserve">- </w:t>
            </w:r>
            <w:r>
              <w:rPr>
                <w:rFonts w:ascii="Times New Roman" w:hAnsi="Times New Roman" w:cs="Times New Roman"/>
              </w:rPr>
              <w:t xml:space="preserve">Offshore representatives are not as aware of outstanding inventory and the length of time it is outstanding. </w:t>
            </w:r>
          </w:p>
          <w:p w:rsidR="00D75DA8" w:rsidRDefault="009630F5" w:rsidP="00F55185">
            <w:pPr>
              <w:rPr>
                <w:rFonts w:ascii="Times New Roman" w:hAnsi="Times New Roman" w:cs="Times New Roman"/>
              </w:rPr>
            </w:pPr>
            <w:r>
              <w:rPr>
                <w:rFonts w:ascii="Times New Roman" w:hAnsi="Times New Roman" w:cs="Times New Roman"/>
              </w:rPr>
              <w:t>Consequences -</w:t>
            </w:r>
            <w:r w:rsidR="006C699E">
              <w:rPr>
                <w:rFonts w:ascii="Times New Roman" w:hAnsi="Times New Roman" w:cs="Times New Roman"/>
              </w:rPr>
              <w:t xml:space="preserve"> Offshore representatives are hesitant to process due to </w:t>
            </w:r>
            <w:r w:rsidR="00616F45">
              <w:rPr>
                <w:rFonts w:ascii="Times New Roman" w:hAnsi="Times New Roman" w:cs="Times New Roman"/>
              </w:rPr>
              <w:t>excessive failed work via audit</w:t>
            </w:r>
          </w:p>
          <w:p w:rsidR="006C699E" w:rsidRPr="00230AA2" w:rsidRDefault="006C699E" w:rsidP="00F55185">
            <w:pPr>
              <w:rPr>
                <w:rFonts w:ascii="Times New Roman" w:hAnsi="Times New Roman" w:cs="Times New Roman"/>
              </w:rPr>
            </w:pPr>
          </w:p>
        </w:tc>
        <w:tc>
          <w:tcPr>
            <w:tcW w:w="1890" w:type="dxa"/>
          </w:tcPr>
          <w:p w:rsidR="009630F5" w:rsidRDefault="00F55185" w:rsidP="009630F5">
            <w:pPr>
              <w:rPr>
                <w:rFonts w:ascii="Times New Roman" w:hAnsi="Times New Roman" w:cs="Times New Roman"/>
              </w:rPr>
            </w:pPr>
            <w:r>
              <w:rPr>
                <w:rFonts w:ascii="Times New Roman" w:hAnsi="Times New Roman" w:cs="Times New Roman"/>
              </w:rPr>
              <w:t>Information</w:t>
            </w:r>
            <w:r w:rsidR="00D75DA8" w:rsidRPr="00230AA2">
              <w:rPr>
                <w:rFonts w:ascii="Times New Roman" w:hAnsi="Times New Roman" w:cs="Times New Roman"/>
              </w:rPr>
              <w:t xml:space="preserve">, </w:t>
            </w:r>
            <w:r w:rsidR="009630F5">
              <w:rPr>
                <w:rFonts w:ascii="Times New Roman" w:hAnsi="Times New Roman" w:cs="Times New Roman"/>
              </w:rPr>
              <w:t xml:space="preserve">Consequences </w:t>
            </w:r>
          </w:p>
          <w:p w:rsidR="00D75DA8" w:rsidRPr="00230AA2" w:rsidRDefault="00D75DA8" w:rsidP="00F24B58">
            <w:pPr>
              <w:rPr>
                <w:rFonts w:ascii="Times New Roman" w:hAnsi="Times New Roman" w:cs="Times New Roman"/>
              </w:rPr>
            </w:pPr>
          </w:p>
          <w:p w:rsidR="00D75DA8" w:rsidRPr="00230AA2" w:rsidRDefault="00D75DA8" w:rsidP="00F24B58">
            <w:pPr>
              <w:rPr>
                <w:rFonts w:ascii="Times New Roman" w:hAnsi="Times New Roman" w:cs="Times New Roman"/>
              </w:rPr>
            </w:pPr>
          </w:p>
        </w:tc>
      </w:tr>
      <w:tr w:rsidR="006C699E" w:rsidRPr="00230AA2" w:rsidTr="00111BBA">
        <w:trPr>
          <w:trHeight w:val="47"/>
        </w:trPr>
        <w:tc>
          <w:tcPr>
            <w:tcW w:w="1548" w:type="dxa"/>
          </w:tcPr>
          <w:p w:rsidR="006C699E" w:rsidRPr="00230AA2" w:rsidRDefault="006C699E" w:rsidP="00053F05">
            <w:pPr>
              <w:rPr>
                <w:rFonts w:ascii="Times New Roman" w:hAnsi="Times New Roman" w:cs="Times New Roman"/>
              </w:rPr>
            </w:pPr>
            <w:r>
              <w:rPr>
                <w:rFonts w:ascii="Times New Roman" w:hAnsi="Times New Roman" w:cs="Times New Roman"/>
              </w:rPr>
              <w:lastRenderedPageBreak/>
              <w:t xml:space="preserve">Increased </w:t>
            </w:r>
            <w:r w:rsidR="00053F05">
              <w:rPr>
                <w:rFonts w:ascii="Times New Roman" w:hAnsi="Times New Roman" w:cs="Times New Roman"/>
              </w:rPr>
              <w:t>questions relayed to onshore representatives requesting clarification on policy coverage details and policy language</w:t>
            </w:r>
          </w:p>
        </w:tc>
        <w:tc>
          <w:tcPr>
            <w:tcW w:w="1800" w:type="dxa"/>
          </w:tcPr>
          <w:p w:rsidR="006C699E" w:rsidRDefault="006C699E" w:rsidP="00053F05">
            <w:pPr>
              <w:rPr>
                <w:rFonts w:ascii="Times New Roman" w:hAnsi="Times New Roman" w:cs="Times New Roman"/>
              </w:rPr>
            </w:pPr>
            <w:r w:rsidRPr="009630F5">
              <w:rPr>
                <w:rFonts w:ascii="Times New Roman" w:hAnsi="Times New Roman" w:cs="Times New Roman"/>
              </w:rPr>
              <w:t xml:space="preserve">Less than </w:t>
            </w:r>
            <w:r w:rsidR="00053F05">
              <w:rPr>
                <w:rFonts w:ascii="Times New Roman" w:hAnsi="Times New Roman" w:cs="Times New Roman"/>
              </w:rPr>
              <w:t>5 daily email inquiries to domestic SMEs requesting clarification on policy coverage details and policy language</w:t>
            </w:r>
          </w:p>
          <w:p w:rsidR="006C699E" w:rsidRPr="00230AA2" w:rsidRDefault="006C699E" w:rsidP="00F24B58">
            <w:pPr>
              <w:rPr>
                <w:rFonts w:ascii="Times New Roman" w:hAnsi="Times New Roman" w:cs="Times New Roman"/>
              </w:rPr>
            </w:pPr>
          </w:p>
        </w:tc>
        <w:tc>
          <w:tcPr>
            <w:tcW w:w="1640" w:type="dxa"/>
          </w:tcPr>
          <w:p w:rsidR="00053F05" w:rsidRDefault="00053F05" w:rsidP="00053F05">
            <w:pPr>
              <w:rPr>
                <w:rFonts w:ascii="Times New Roman" w:hAnsi="Times New Roman" w:cs="Times New Roman"/>
              </w:rPr>
            </w:pPr>
            <w:r>
              <w:rPr>
                <w:rFonts w:ascii="Times New Roman" w:hAnsi="Times New Roman" w:cs="Times New Roman"/>
              </w:rPr>
              <w:t>Over 25 daily email inquiries to domestic SMEs requesting clarification on policy coverage details and policy language</w:t>
            </w:r>
          </w:p>
          <w:p w:rsidR="006C699E" w:rsidRPr="00230AA2" w:rsidRDefault="006C699E" w:rsidP="00F24B58">
            <w:pPr>
              <w:rPr>
                <w:rFonts w:ascii="Times New Roman" w:hAnsi="Times New Roman" w:cs="Times New Roman"/>
              </w:rPr>
            </w:pPr>
          </w:p>
        </w:tc>
        <w:tc>
          <w:tcPr>
            <w:tcW w:w="2770" w:type="dxa"/>
          </w:tcPr>
          <w:p w:rsidR="003F67D3" w:rsidRDefault="00053F05" w:rsidP="003F67D3">
            <w:pPr>
              <w:rPr>
                <w:rFonts w:ascii="Times New Roman" w:hAnsi="Times New Roman" w:cs="Times New Roman"/>
              </w:rPr>
            </w:pPr>
            <w:r>
              <w:rPr>
                <w:rFonts w:ascii="Times New Roman" w:hAnsi="Times New Roman" w:cs="Times New Roman"/>
              </w:rPr>
              <w:t>Knowledge</w:t>
            </w:r>
            <w:r w:rsidR="006C699E">
              <w:rPr>
                <w:rFonts w:ascii="Times New Roman" w:hAnsi="Times New Roman" w:cs="Times New Roman"/>
              </w:rPr>
              <w:t xml:space="preserve"> </w:t>
            </w:r>
            <w:r w:rsidR="006C699E" w:rsidRPr="00230AA2">
              <w:rPr>
                <w:rFonts w:ascii="Times New Roman" w:hAnsi="Times New Roman" w:cs="Times New Roman"/>
              </w:rPr>
              <w:t xml:space="preserve">- </w:t>
            </w:r>
            <w:r w:rsidR="006C699E">
              <w:rPr>
                <w:rFonts w:ascii="Times New Roman" w:hAnsi="Times New Roman" w:cs="Times New Roman"/>
              </w:rPr>
              <w:t xml:space="preserve">Offshore representatives are </w:t>
            </w:r>
            <w:r>
              <w:rPr>
                <w:rFonts w:ascii="Times New Roman" w:hAnsi="Times New Roman" w:cs="Times New Roman"/>
              </w:rPr>
              <w:t xml:space="preserve">not aware of the broad details of policy </w:t>
            </w:r>
            <w:r w:rsidR="003F67D3">
              <w:rPr>
                <w:rFonts w:ascii="Times New Roman" w:hAnsi="Times New Roman" w:cs="Times New Roman"/>
              </w:rPr>
              <w:t>benefits.</w:t>
            </w:r>
          </w:p>
          <w:p w:rsidR="006C699E" w:rsidRPr="00230AA2" w:rsidRDefault="003F67D3" w:rsidP="003F67D3">
            <w:pPr>
              <w:rPr>
                <w:rFonts w:ascii="Times New Roman" w:hAnsi="Times New Roman" w:cs="Times New Roman"/>
              </w:rPr>
            </w:pPr>
            <w:r>
              <w:rPr>
                <w:rFonts w:ascii="Times New Roman" w:hAnsi="Times New Roman" w:cs="Times New Roman"/>
              </w:rPr>
              <w:t xml:space="preserve">Capacity - Several offshore representatives are not able to dictate policy benefits </w:t>
            </w:r>
            <w:r w:rsidR="00FB2817">
              <w:rPr>
                <w:rFonts w:ascii="Times New Roman" w:hAnsi="Times New Roman" w:cs="Times New Roman"/>
              </w:rPr>
              <w:t xml:space="preserve">in </w:t>
            </w:r>
            <w:r>
              <w:rPr>
                <w:rFonts w:ascii="Times New Roman" w:hAnsi="Times New Roman" w:cs="Times New Roman"/>
              </w:rPr>
              <w:t>an open ended manner and prefer closed ended responses</w:t>
            </w:r>
          </w:p>
        </w:tc>
        <w:tc>
          <w:tcPr>
            <w:tcW w:w="1890" w:type="dxa"/>
          </w:tcPr>
          <w:p w:rsidR="006C699E" w:rsidRDefault="00053F05" w:rsidP="00F24B58">
            <w:pPr>
              <w:rPr>
                <w:rFonts w:ascii="Times New Roman" w:hAnsi="Times New Roman" w:cs="Times New Roman"/>
              </w:rPr>
            </w:pPr>
            <w:r>
              <w:rPr>
                <w:rFonts w:ascii="Times New Roman" w:hAnsi="Times New Roman" w:cs="Times New Roman"/>
              </w:rPr>
              <w:t>Knowledge</w:t>
            </w:r>
            <w:r w:rsidRPr="00230AA2">
              <w:rPr>
                <w:rFonts w:ascii="Times New Roman" w:hAnsi="Times New Roman" w:cs="Times New Roman"/>
              </w:rPr>
              <w:t>,</w:t>
            </w:r>
            <w:r w:rsidR="006C699E" w:rsidRPr="00230AA2">
              <w:rPr>
                <w:rFonts w:ascii="Times New Roman" w:hAnsi="Times New Roman" w:cs="Times New Roman"/>
              </w:rPr>
              <w:t xml:space="preserve"> </w:t>
            </w:r>
            <w:r>
              <w:rPr>
                <w:rFonts w:ascii="Times New Roman" w:hAnsi="Times New Roman" w:cs="Times New Roman"/>
              </w:rPr>
              <w:t>Capacity</w:t>
            </w:r>
            <w:r w:rsidR="006C699E">
              <w:rPr>
                <w:rFonts w:ascii="Times New Roman" w:hAnsi="Times New Roman" w:cs="Times New Roman"/>
              </w:rPr>
              <w:t xml:space="preserve"> </w:t>
            </w:r>
          </w:p>
          <w:p w:rsidR="006C699E" w:rsidRPr="00230AA2" w:rsidRDefault="006C699E" w:rsidP="00F24B58">
            <w:pPr>
              <w:rPr>
                <w:rFonts w:ascii="Times New Roman" w:hAnsi="Times New Roman" w:cs="Times New Roman"/>
              </w:rPr>
            </w:pPr>
          </w:p>
          <w:p w:rsidR="006C699E" w:rsidRPr="00230AA2" w:rsidRDefault="006C699E" w:rsidP="00F24B58">
            <w:pPr>
              <w:rPr>
                <w:rFonts w:ascii="Times New Roman" w:hAnsi="Times New Roman" w:cs="Times New Roman"/>
              </w:rPr>
            </w:pPr>
          </w:p>
        </w:tc>
      </w:tr>
    </w:tbl>
    <w:p w:rsidR="00D75DA8" w:rsidRDefault="00294DEB" w:rsidP="00B527C7">
      <w:pPr>
        <w:spacing w:line="480" w:lineRule="auto"/>
        <w:rPr>
          <w:rFonts w:ascii="Times New Roman" w:hAnsi="Times New Roman" w:cs="Times New Roman"/>
          <w:sz w:val="24"/>
          <w:szCs w:val="24"/>
        </w:rPr>
      </w:pPr>
      <w:r w:rsidRPr="00294DE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80" o:spid="_x0000_s1026" type="#_x0000_t202" style="position:absolute;margin-left:-3.2pt;margin-top:7.2pt;width:187.2pt;height:20.7pt;z-index:251741184;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P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" stroked="f">
            <v:textbox>
              <w:txbxContent>
                <w:p w:rsidR="00D75DA8" w:rsidRPr="00D32B6B" w:rsidRDefault="00D75DA8" w:rsidP="00D75DA8">
                  <w:pPr>
                    <w:rPr>
                      <w:rFonts w:ascii="Times New Roman" w:hAnsi="Times New Roman" w:cs="Times New Roman"/>
                      <w:sz w:val="18"/>
                      <w:szCs w:val="18"/>
                    </w:rPr>
                  </w:pPr>
                  <w:r w:rsidRPr="00D32B6B">
                    <w:rPr>
                      <w:rFonts w:ascii="Times New Roman" w:hAnsi="Times New Roman" w:cs="Times New Roman"/>
                      <w:i/>
                      <w:sz w:val="18"/>
                      <w:szCs w:val="18"/>
                    </w:rPr>
                    <w:t xml:space="preserve">Source: </w:t>
                  </w:r>
                  <w:proofErr w:type="spellStart"/>
                  <w:r w:rsidRPr="00D32B6B">
                    <w:rPr>
                      <w:rFonts w:ascii="Times New Roman" w:hAnsi="Times New Roman" w:cs="Times New Roman"/>
                      <w:sz w:val="18"/>
                      <w:szCs w:val="18"/>
                    </w:rPr>
                    <w:t>Stolovitch</w:t>
                  </w:r>
                  <w:proofErr w:type="spellEnd"/>
                  <w:r w:rsidRPr="00D32B6B">
                    <w:rPr>
                      <w:rFonts w:ascii="Times New Roman" w:hAnsi="Times New Roman" w:cs="Times New Roman"/>
                      <w:sz w:val="18"/>
                      <w:szCs w:val="18"/>
                    </w:rPr>
                    <w:t xml:space="preserve"> &amp; Keeps (2004) Template</w:t>
                  </w:r>
                </w:p>
              </w:txbxContent>
            </v:textbox>
          </v:shape>
        </w:pict>
      </w:r>
    </w:p>
    <w:p w:rsidR="0071190F" w:rsidRDefault="0071190F" w:rsidP="00B527C7">
      <w:pPr>
        <w:spacing w:line="480" w:lineRule="auto"/>
        <w:rPr>
          <w:rFonts w:ascii="Times New Roman" w:hAnsi="Times New Roman" w:cs="Times New Roman"/>
          <w:b/>
          <w:sz w:val="24"/>
          <w:szCs w:val="24"/>
        </w:rPr>
      </w:pPr>
      <w:r w:rsidRPr="0071190F">
        <w:rPr>
          <w:rFonts w:ascii="Times New Roman" w:hAnsi="Times New Roman" w:cs="Times New Roman"/>
          <w:b/>
          <w:sz w:val="24"/>
          <w:szCs w:val="24"/>
        </w:rPr>
        <w:t>Continue</w:t>
      </w:r>
      <w:r>
        <w:rPr>
          <w:rFonts w:ascii="Times New Roman" w:hAnsi="Times New Roman" w:cs="Times New Roman"/>
          <w:b/>
          <w:sz w:val="24"/>
          <w:szCs w:val="24"/>
        </w:rPr>
        <w:t xml:space="preserve">d </w:t>
      </w:r>
      <w:r w:rsidRPr="0071190F">
        <w:rPr>
          <w:rFonts w:ascii="Times New Roman" w:hAnsi="Times New Roman" w:cs="Times New Roman"/>
          <w:b/>
          <w:sz w:val="24"/>
          <w:szCs w:val="24"/>
        </w:rPr>
        <w:t>Investigation</w:t>
      </w:r>
    </w:p>
    <w:p w:rsidR="00F54671" w:rsidRPr="005C6834" w:rsidRDefault="003F67D3" w:rsidP="00B72354">
      <w:pPr>
        <w:spacing w:line="480" w:lineRule="auto"/>
        <w:rPr>
          <w:rFonts w:ascii="Times New Roman" w:hAnsi="Times New Roman" w:cs="Times New Roman"/>
          <w:sz w:val="24"/>
          <w:szCs w:val="24"/>
        </w:rPr>
      </w:pPr>
      <w:r>
        <w:rPr>
          <w:rFonts w:ascii="Times New Roman" w:hAnsi="Times New Roman" w:cs="Times New Roman"/>
          <w:sz w:val="24"/>
          <w:szCs w:val="24"/>
        </w:rPr>
        <w:tab/>
      </w:r>
      <w:r w:rsidR="00616F45">
        <w:rPr>
          <w:rFonts w:ascii="Times New Roman" w:hAnsi="Times New Roman" w:cs="Times New Roman"/>
          <w:sz w:val="24"/>
          <w:szCs w:val="24"/>
        </w:rPr>
        <w:t>With clear and measurable performance gaps identified,</w:t>
      </w:r>
      <w:r w:rsidR="00B326B2">
        <w:rPr>
          <w:rFonts w:ascii="Times New Roman" w:hAnsi="Times New Roman" w:cs="Times New Roman"/>
          <w:sz w:val="24"/>
          <w:szCs w:val="24"/>
        </w:rPr>
        <w:t xml:space="preserve"> further investigation may be conducted to acquire detailed information on the possible root causes in anticipation of </w:t>
      </w:r>
      <w:r w:rsidR="00B72354">
        <w:rPr>
          <w:rFonts w:ascii="Times New Roman" w:hAnsi="Times New Roman" w:cs="Times New Roman"/>
          <w:sz w:val="24"/>
          <w:szCs w:val="24"/>
        </w:rPr>
        <w:t>plausible</w:t>
      </w:r>
      <w:r w:rsidR="00B326B2">
        <w:rPr>
          <w:rFonts w:ascii="Times New Roman" w:hAnsi="Times New Roman" w:cs="Times New Roman"/>
          <w:sz w:val="24"/>
          <w:szCs w:val="24"/>
        </w:rPr>
        <w:t xml:space="preserve"> future solutions.</w:t>
      </w:r>
      <w:r w:rsidR="00B72354">
        <w:rPr>
          <w:rFonts w:ascii="Times New Roman" w:hAnsi="Times New Roman" w:cs="Times New Roman"/>
          <w:sz w:val="24"/>
          <w:szCs w:val="24"/>
        </w:rPr>
        <w:t xml:space="preserve">  Possibly the most evident performance block is based on the different cultures involved.  Not only is the language barrier a troublesome obstacle, but the open ended responses demanded by customer correspondence accentuates this to an even higher degree.  </w:t>
      </w:r>
      <w:r w:rsidR="00B72354" w:rsidRPr="00107A0E">
        <w:rPr>
          <w:rFonts w:ascii="Times New Roman" w:hAnsi="Times New Roman" w:cs="Times New Roman"/>
          <w:sz w:val="24"/>
          <w:szCs w:val="24"/>
        </w:rPr>
        <w:t xml:space="preserve">As, previously stated, processes that the company migrated before </w:t>
      </w:r>
      <w:r w:rsidR="00B72354" w:rsidRPr="005C6834">
        <w:rPr>
          <w:rFonts w:ascii="Times New Roman" w:hAnsi="Times New Roman" w:cs="Times New Roman"/>
          <w:sz w:val="24"/>
          <w:szCs w:val="24"/>
        </w:rPr>
        <w:t>correspondence were close</w:t>
      </w:r>
      <w:r w:rsidR="005C6834" w:rsidRPr="005C6834">
        <w:rPr>
          <w:rFonts w:ascii="Times New Roman" w:hAnsi="Times New Roman" w:cs="Times New Roman"/>
          <w:sz w:val="24"/>
          <w:szCs w:val="24"/>
        </w:rPr>
        <w:t>-</w:t>
      </w:r>
      <w:r w:rsidR="00B72354" w:rsidRPr="005C6834">
        <w:rPr>
          <w:rFonts w:ascii="Times New Roman" w:hAnsi="Times New Roman" w:cs="Times New Roman"/>
          <w:sz w:val="24"/>
          <w:szCs w:val="24"/>
        </w:rPr>
        <w:t>ended (black and white).  However, the ability to provide an open-ended answer (gray) to an extremely specific question posed by a customer who already lacks considerable understanding of their own policy, is not something</w:t>
      </w:r>
      <w:r w:rsidR="00786207" w:rsidRPr="005C6834">
        <w:rPr>
          <w:rFonts w:ascii="Times New Roman" w:hAnsi="Times New Roman" w:cs="Times New Roman"/>
          <w:sz w:val="24"/>
          <w:szCs w:val="24"/>
        </w:rPr>
        <w:t xml:space="preserve"> that</w:t>
      </w:r>
      <w:r w:rsidR="00B72354" w:rsidRPr="005C6834">
        <w:rPr>
          <w:rFonts w:ascii="Times New Roman" w:hAnsi="Times New Roman" w:cs="Times New Roman"/>
          <w:sz w:val="24"/>
          <w:szCs w:val="24"/>
        </w:rPr>
        <w:t xml:space="preserve"> every individual is capable</w:t>
      </w:r>
      <w:r w:rsidR="00786207" w:rsidRPr="005C6834">
        <w:rPr>
          <w:rFonts w:ascii="Times New Roman" w:hAnsi="Times New Roman" w:cs="Times New Roman"/>
          <w:sz w:val="24"/>
          <w:szCs w:val="24"/>
        </w:rPr>
        <w:t xml:space="preserve"> of</w:t>
      </w:r>
      <w:r w:rsidR="00B72354" w:rsidRPr="005C6834">
        <w:rPr>
          <w:rFonts w:ascii="Times New Roman" w:hAnsi="Times New Roman" w:cs="Times New Roman"/>
          <w:sz w:val="24"/>
          <w:szCs w:val="24"/>
        </w:rPr>
        <w:t xml:space="preserve">, let alone comfortable performing.  </w:t>
      </w:r>
    </w:p>
    <w:p w:rsidR="00616F45" w:rsidRDefault="00F54671" w:rsidP="00D36BA2">
      <w:pPr>
        <w:spacing w:line="480" w:lineRule="auto"/>
        <w:rPr>
          <w:rFonts w:ascii="Times New Roman" w:hAnsi="Times New Roman" w:cs="Times New Roman"/>
          <w:sz w:val="24"/>
          <w:szCs w:val="24"/>
        </w:rPr>
      </w:pPr>
      <w:r w:rsidRPr="005C6834">
        <w:rPr>
          <w:rFonts w:ascii="Times New Roman" w:hAnsi="Times New Roman" w:cs="Times New Roman"/>
          <w:sz w:val="24"/>
          <w:szCs w:val="24"/>
        </w:rPr>
        <w:tab/>
      </w:r>
      <w:r w:rsidR="00B72354" w:rsidRPr="005C6834">
        <w:rPr>
          <w:rFonts w:ascii="Times New Roman" w:hAnsi="Times New Roman" w:cs="Times New Roman"/>
          <w:sz w:val="24"/>
          <w:szCs w:val="24"/>
        </w:rPr>
        <w:t xml:space="preserve">Even with </w:t>
      </w:r>
      <w:r w:rsidRPr="005C6834">
        <w:rPr>
          <w:rFonts w:ascii="Times New Roman" w:hAnsi="Times New Roman" w:cs="Times New Roman"/>
          <w:sz w:val="24"/>
          <w:szCs w:val="24"/>
        </w:rPr>
        <w:t>the</w:t>
      </w:r>
      <w:r w:rsidR="00B72354" w:rsidRPr="005C6834">
        <w:rPr>
          <w:rFonts w:ascii="Times New Roman" w:hAnsi="Times New Roman" w:cs="Times New Roman"/>
          <w:sz w:val="24"/>
          <w:szCs w:val="24"/>
        </w:rPr>
        <w:t xml:space="preserve"> separate culture involved</w:t>
      </w:r>
      <w:r w:rsidRPr="005C6834">
        <w:rPr>
          <w:rFonts w:ascii="Times New Roman" w:hAnsi="Times New Roman" w:cs="Times New Roman"/>
          <w:sz w:val="24"/>
          <w:szCs w:val="24"/>
        </w:rPr>
        <w:t xml:space="preserve">, </w:t>
      </w:r>
      <w:r w:rsidR="00B72354" w:rsidRPr="005C6834">
        <w:rPr>
          <w:rFonts w:ascii="Times New Roman" w:hAnsi="Times New Roman" w:cs="Times New Roman"/>
          <w:sz w:val="24"/>
          <w:szCs w:val="24"/>
        </w:rPr>
        <w:t xml:space="preserve">the </w:t>
      </w:r>
      <w:r w:rsidRPr="005C6834">
        <w:rPr>
          <w:rFonts w:ascii="Times New Roman" w:hAnsi="Times New Roman" w:cs="Times New Roman"/>
          <w:sz w:val="24"/>
          <w:szCs w:val="24"/>
        </w:rPr>
        <w:t xml:space="preserve">offshore associates </w:t>
      </w:r>
      <w:r w:rsidR="00B72354" w:rsidRPr="005C6834">
        <w:rPr>
          <w:rFonts w:ascii="Times New Roman" w:hAnsi="Times New Roman" w:cs="Times New Roman"/>
          <w:sz w:val="24"/>
          <w:szCs w:val="24"/>
        </w:rPr>
        <w:t xml:space="preserve">must </w:t>
      </w:r>
      <w:r w:rsidRPr="005C6834">
        <w:rPr>
          <w:rFonts w:ascii="Times New Roman" w:hAnsi="Times New Roman" w:cs="Times New Roman"/>
          <w:sz w:val="24"/>
          <w:szCs w:val="24"/>
        </w:rPr>
        <w:t xml:space="preserve">make every effort to strive for customer satisfaction.  With management receiving feedback from the customer based on the output (Addison &amp; </w:t>
      </w:r>
      <w:proofErr w:type="spellStart"/>
      <w:r w:rsidRPr="005C6834">
        <w:rPr>
          <w:rFonts w:ascii="Times New Roman" w:hAnsi="Times New Roman" w:cs="Times New Roman"/>
          <w:sz w:val="24"/>
          <w:szCs w:val="24"/>
        </w:rPr>
        <w:t>Wittkuhn</w:t>
      </w:r>
      <w:proofErr w:type="spellEnd"/>
      <w:r w:rsidRPr="005C6834">
        <w:rPr>
          <w:rFonts w:ascii="Times New Roman" w:hAnsi="Times New Roman" w:cs="Times New Roman"/>
          <w:sz w:val="24"/>
          <w:szCs w:val="24"/>
        </w:rPr>
        <w:t>, 2001)</w:t>
      </w:r>
      <w:r w:rsidR="00B72354" w:rsidRPr="005C6834">
        <w:rPr>
          <w:rFonts w:ascii="Times New Roman" w:hAnsi="Times New Roman" w:cs="Times New Roman"/>
          <w:sz w:val="24"/>
          <w:szCs w:val="24"/>
        </w:rPr>
        <w:t>,</w:t>
      </w:r>
      <w:r w:rsidRPr="005C6834">
        <w:rPr>
          <w:rFonts w:ascii="Times New Roman" w:hAnsi="Times New Roman" w:cs="Times New Roman"/>
          <w:sz w:val="24"/>
          <w:szCs w:val="24"/>
        </w:rPr>
        <w:t xml:space="preserve"> it is recognized that more tha</w:t>
      </w:r>
      <w:r w:rsidR="005C6834" w:rsidRPr="005C6834">
        <w:rPr>
          <w:rFonts w:ascii="Times New Roman" w:hAnsi="Times New Roman" w:cs="Times New Roman"/>
          <w:sz w:val="24"/>
          <w:szCs w:val="24"/>
        </w:rPr>
        <w:t>n</w:t>
      </w:r>
      <w:r w:rsidRPr="005C6834">
        <w:rPr>
          <w:rFonts w:ascii="Times New Roman" w:hAnsi="Times New Roman" w:cs="Times New Roman"/>
          <w:sz w:val="24"/>
          <w:szCs w:val="24"/>
        </w:rPr>
        <w:t xml:space="preserve"> several</w:t>
      </w:r>
      <w:r>
        <w:rPr>
          <w:rFonts w:ascii="Times New Roman" w:hAnsi="Times New Roman" w:cs="Times New Roman"/>
          <w:sz w:val="24"/>
          <w:szCs w:val="24"/>
        </w:rPr>
        <w:t xml:space="preserve"> tools should be utilized to promote effective investigation.  </w:t>
      </w:r>
      <w:r w:rsidR="005938F5">
        <w:rPr>
          <w:rFonts w:ascii="Times New Roman" w:hAnsi="Times New Roman" w:cs="Times New Roman"/>
          <w:sz w:val="24"/>
          <w:szCs w:val="24"/>
        </w:rPr>
        <w:t xml:space="preserve">It should not be overlooked, however, that </w:t>
      </w:r>
      <w:r w:rsidR="00856B92">
        <w:rPr>
          <w:rFonts w:ascii="Times New Roman" w:hAnsi="Times New Roman" w:cs="Times New Roman"/>
          <w:sz w:val="24"/>
          <w:szCs w:val="24"/>
        </w:rPr>
        <w:t xml:space="preserve">the offshore vendors themselves can provide valuable information </w:t>
      </w:r>
      <w:r w:rsidR="00D36BA2">
        <w:rPr>
          <w:rFonts w:ascii="Times New Roman" w:hAnsi="Times New Roman" w:cs="Times New Roman"/>
          <w:sz w:val="24"/>
          <w:szCs w:val="24"/>
        </w:rPr>
        <w:t xml:space="preserve">to target the </w:t>
      </w:r>
      <w:r>
        <w:rPr>
          <w:rFonts w:ascii="Times New Roman" w:hAnsi="Times New Roman" w:cs="Times New Roman"/>
          <w:sz w:val="24"/>
          <w:szCs w:val="24"/>
        </w:rPr>
        <w:t>specific</w:t>
      </w:r>
      <w:r w:rsidR="00D36BA2">
        <w:rPr>
          <w:rFonts w:ascii="Times New Roman" w:hAnsi="Times New Roman" w:cs="Times New Roman"/>
          <w:sz w:val="24"/>
          <w:szCs w:val="24"/>
        </w:rPr>
        <w:t xml:space="preserve"> </w:t>
      </w:r>
      <w:r w:rsidR="000E4C8F">
        <w:rPr>
          <w:rFonts w:ascii="Times New Roman" w:hAnsi="Times New Roman" w:cs="Times New Roman"/>
          <w:sz w:val="24"/>
          <w:szCs w:val="24"/>
        </w:rPr>
        <w:t>troublesome</w:t>
      </w:r>
      <w:r>
        <w:rPr>
          <w:rFonts w:ascii="Times New Roman" w:hAnsi="Times New Roman" w:cs="Times New Roman"/>
          <w:sz w:val="24"/>
          <w:szCs w:val="24"/>
        </w:rPr>
        <w:t xml:space="preserve"> </w:t>
      </w:r>
      <w:r>
        <w:rPr>
          <w:rFonts w:ascii="Times New Roman" w:hAnsi="Times New Roman" w:cs="Times New Roman"/>
          <w:sz w:val="24"/>
          <w:szCs w:val="24"/>
        </w:rPr>
        <w:lastRenderedPageBreak/>
        <w:t>factors</w:t>
      </w:r>
      <w:r w:rsidR="00D36BA2">
        <w:rPr>
          <w:rFonts w:ascii="Times New Roman" w:hAnsi="Times New Roman" w:cs="Times New Roman"/>
          <w:sz w:val="24"/>
          <w:szCs w:val="24"/>
        </w:rPr>
        <w:t xml:space="preserve">.  While recognition of the hindrances caused by diverse approaches in the workplace can help identify performance gaps, harnessing the benefits of the diversity can help provide solutions.  For instance, as </w:t>
      </w:r>
      <w:r w:rsidR="00D36BA2" w:rsidRPr="00D36BA2">
        <w:rPr>
          <w:rFonts w:ascii="Times New Roman" w:hAnsi="Times New Roman" w:cs="Times New Roman"/>
          <w:sz w:val="24"/>
          <w:szCs w:val="24"/>
        </w:rPr>
        <w:t>Marques</w:t>
      </w:r>
      <w:r w:rsidR="00D36BA2">
        <w:rPr>
          <w:rFonts w:ascii="Times New Roman" w:hAnsi="Times New Roman" w:cs="Times New Roman"/>
          <w:sz w:val="24"/>
          <w:szCs w:val="24"/>
        </w:rPr>
        <w:t xml:space="preserve"> (2007) indicates "a</w:t>
      </w:r>
      <w:r w:rsidR="00D36BA2" w:rsidRPr="00D36BA2">
        <w:rPr>
          <w:rFonts w:ascii="Times New Roman" w:hAnsi="Times New Roman" w:cs="Times New Roman"/>
          <w:sz w:val="24"/>
          <w:szCs w:val="24"/>
        </w:rPr>
        <w:t>n organization that makes itself a hearth</w:t>
      </w:r>
      <w:r w:rsidR="00D36BA2">
        <w:rPr>
          <w:rFonts w:ascii="Times New Roman" w:hAnsi="Times New Roman" w:cs="Times New Roman"/>
          <w:sz w:val="24"/>
          <w:szCs w:val="24"/>
        </w:rPr>
        <w:t xml:space="preserve"> </w:t>
      </w:r>
      <w:r w:rsidR="00D36BA2" w:rsidRPr="00D36BA2">
        <w:rPr>
          <w:rFonts w:ascii="Times New Roman" w:hAnsi="Times New Roman" w:cs="Times New Roman"/>
          <w:sz w:val="24"/>
          <w:szCs w:val="24"/>
        </w:rPr>
        <w:t>of diversity will be able to come up with a</w:t>
      </w:r>
      <w:r w:rsidR="00D36BA2">
        <w:rPr>
          <w:rFonts w:ascii="Times New Roman" w:hAnsi="Times New Roman" w:cs="Times New Roman"/>
          <w:sz w:val="24"/>
          <w:szCs w:val="24"/>
        </w:rPr>
        <w:t xml:space="preserve"> </w:t>
      </w:r>
      <w:r w:rsidR="00D36BA2" w:rsidRPr="00D36BA2">
        <w:rPr>
          <w:rFonts w:ascii="Times New Roman" w:hAnsi="Times New Roman" w:cs="Times New Roman"/>
          <w:sz w:val="24"/>
          <w:szCs w:val="24"/>
        </w:rPr>
        <w:t>multiplicity of original approaches</w:t>
      </w:r>
      <w:r w:rsidR="00D36BA2">
        <w:rPr>
          <w:rFonts w:ascii="Times New Roman" w:hAnsi="Times New Roman" w:cs="Times New Roman"/>
          <w:sz w:val="24"/>
          <w:szCs w:val="24"/>
        </w:rPr>
        <w:t xml:space="preserve">."  The following chart </w:t>
      </w:r>
      <w:r w:rsidR="002D3B29">
        <w:rPr>
          <w:rFonts w:ascii="Times New Roman" w:hAnsi="Times New Roman" w:cs="Times New Roman"/>
          <w:sz w:val="24"/>
          <w:szCs w:val="24"/>
        </w:rPr>
        <w:t xml:space="preserve">presents tools and techniques that may assist in the investigative process.  </w:t>
      </w:r>
      <w:r w:rsidR="00D36BA2">
        <w:rPr>
          <w:rFonts w:ascii="Times New Roman" w:hAnsi="Times New Roman" w:cs="Times New Roman"/>
          <w:sz w:val="24"/>
          <w:szCs w:val="24"/>
        </w:rPr>
        <w:t xml:space="preserve">     </w:t>
      </w:r>
      <w:r>
        <w:rPr>
          <w:rFonts w:ascii="Times New Roman" w:hAnsi="Times New Roman" w:cs="Times New Roman"/>
          <w:sz w:val="24"/>
          <w:szCs w:val="24"/>
        </w:rPr>
        <w:t xml:space="preserve"> </w:t>
      </w:r>
      <w:r w:rsidR="00B72354">
        <w:rPr>
          <w:rFonts w:ascii="Times New Roman" w:hAnsi="Times New Roman" w:cs="Times New Roman"/>
          <w:sz w:val="24"/>
          <w:szCs w:val="24"/>
        </w:rPr>
        <w:t xml:space="preserve"> </w:t>
      </w:r>
    </w:p>
    <w:p w:rsidR="00616F45" w:rsidRDefault="002D3B29" w:rsidP="00B527C7">
      <w:pPr>
        <w:spacing w:line="480" w:lineRule="auto"/>
        <w:rPr>
          <w:rFonts w:ascii="Times New Roman" w:hAnsi="Times New Roman" w:cs="Times New Roman"/>
          <w:sz w:val="24"/>
          <w:szCs w:val="24"/>
        </w:rPr>
      </w:pPr>
      <w:r w:rsidRPr="0071190F">
        <w:rPr>
          <w:rFonts w:ascii="Times New Roman" w:hAnsi="Times New Roman" w:cs="Times New Roman"/>
          <w:b/>
          <w:sz w:val="24"/>
          <w:szCs w:val="24"/>
        </w:rPr>
        <w:t>Investigati</w:t>
      </w:r>
      <w:r>
        <w:rPr>
          <w:rFonts w:ascii="Times New Roman" w:hAnsi="Times New Roman" w:cs="Times New Roman"/>
          <w:b/>
          <w:sz w:val="24"/>
          <w:szCs w:val="24"/>
        </w:rPr>
        <w:t>ve Tools</w:t>
      </w:r>
    </w:p>
    <w:tbl>
      <w:tblPr>
        <w:tblStyle w:val="TableGrid"/>
        <w:tblW w:w="0" w:type="auto"/>
        <w:tblLook w:val="04A0"/>
      </w:tblPr>
      <w:tblGrid>
        <w:gridCol w:w="2774"/>
        <w:gridCol w:w="3494"/>
        <w:gridCol w:w="3308"/>
      </w:tblGrid>
      <w:tr w:rsidR="00616F45" w:rsidRPr="00616F45" w:rsidTr="00F24B58">
        <w:tc>
          <w:tcPr>
            <w:tcW w:w="2774" w:type="dxa"/>
          </w:tcPr>
          <w:p w:rsidR="00616F45" w:rsidRPr="00111BBA" w:rsidRDefault="00616F45" w:rsidP="00F24B58">
            <w:pPr>
              <w:rPr>
                <w:rFonts w:ascii="Times New Roman" w:hAnsi="Times New Roman" w:cs="Times New Roman"/>
                <w:b/>
                <w:sz w:val="24"/>
                <w:szCs w:val="24"/>
              </w:rPr>
            </w:pPr>
            <w:r w:rsidRPr="00111BBA">
              <w:rPr>
                <w:rFonts w:ascii="Times New Roman" w:hAnsi="Times New Roman" w:cs="Times New Roman"/>
                <w:b/>
                <w:sz w:val="24"/>
                <w:szCs w:val="24"/>
              </w:rPr>
              <w:t>Performance gap: Description</w:t>
            </w:r>
          </w:p>
        </w:tc>
        <w:tc>
          <w:tcPr>
            <w:tcW w:w="3494" w:type="dxa"/>
          </w:tcPr>
          <w:p w:rsidR="00616F45" w:rsidRPr="00111BBA" w:rsidRDefault="00616F45" w:rsidP="00F24B58">
            <w:pPr>
              <w:rPr>
                <w:rFonts w:ascii="Times New Roman" w:hAnsi="Times New Roman" w:cs="Times New Roman"/>
                <w:b/>
                <w:sz w:val="24"/>
                <w:szCs w:val="24"/>
              </w:rPr>
            </w:pPr>
            <w:r w:rsidRPr="00111BBA">
              <w:rPr>
                <w:rFonts w:ascii="Times New Roman" w:hAnsi="Times New Roman" w:cs="Times New Roman"/>
                <w:b/>
                <w:sz w:val="24"/>
                <w:szCs w:val="24"/>
              </w:rPr>
              <w:t>Technique/tool for further investigation</w:t>
            </w:r>
          </w:p>
        </w:tc>
        <w:tc>
          <w:tcPr>
            <w:tcW w:w="3308" w:type="dxa"/>
          </w:tcPr>
          <w:p w:rsidR="00616F45" w:rsidRPr="00111BBA" w:rsidRDefault="00616F45" w:rsidP="00F24B58">
            <w:pPr>
              <w:rPr>
                <w:rFonts w:ascii="Times New Roman" w:hAnsi="Times New Roman" w:cs="Times New Roman"/>
                <w:b/>
                <w:sz w:val="24"/>
                <w:szCs w:val="24"/>
              </w:rPr>
            </w:pPr>
            <w:r w:rsidRPr="00111BBA">
              <w:rPr>
                <w:rFonts w:ascii="Times New Roman" w:hAnsi="Times New Roman" w:cs="Times New Roman"/>
                <w:b/>
                <w:sz w:val="24"/>
                <w:szCs w:val="24"/>
              </w:rPr>
              <w:t>What you hope to learn</w:t>
            </w:r>
          </w:p>
        </w:tc>
      </w:tr>
      <w:tr w:rsidR="00616F45" w:rsidRPr="00616F45" w:rsidTr="00F24B58">
        <w:tc>
          <w:tcPr>
            <w:tcW w:w="2774" w:type="dxa"/>
          </w:tcPr>
          <w:p w:rsidR="00616F45" w:rsidRPr="007A0A1B" w:rsidRDefault="00616F45" w:rsidP="00F24B58">
            <w:pPr>
              <w:rPr>
                <w:rFonts w:ascii="Times New Roman" w:hAnsi="Times New Roman" w:cs="Times New Roman"/>
              </w:rPr>
            </w:pPr>
            <w:r w:rsidRPr="007A0A1B">
              <w:rPr>
                <w:rFonts w:ascii="Times New Roman" w:hAnsi="Times New Roman" w:cs="Times New Roman"/>
              </w:rPr>
              <w:t xml:space="preserve">Inadequately written free form customer correspondence response letters   </w:t>
            </w:r>
          </w:p>
        </w:tc>
        <w:tc>
          <w:tcPr>
            <w:tcW w:w="3494" w:type="dxa"/>
          </w:tcPr>
          <w:p w:rsidR="00616F45" w:rsidRPr="007A0A1B" w:rsidRDefault="00D36BA2" w:rsidP="00F24B58">
            <w:pPr>
              <w:rPr>
                <w:rFonts w:ascii="Times New Roman" w:hAnsi="Times New Roman" w:cs="Times New Roman"/>
              </w:rPr>
            </w:pPr>
            <w:r w:rsidRPr="007A0A1B">
              <w:rPr>
                <w:rFonts w:ascii="Times New Roman" w:hAnsi="Times New Roman" w:cs="Times New Roman"/>
              </w:rPr>
              <w:t>Existing data analysis</w:t>
            </w:r>
          </w:p>
        </w:tc>
        <w:tc>
          <w:tcPr>
            <w:tcW w:w="3308" w:type="dxa"/>
          </w:tcPr>
          <w:p w:rsidR="00616F45" w:rsidRPr="007A0A1B" w:rsidRDefault="00692B81" w:rsidP="00692B81">
            <w:pPr>
              <w:rPr>
                <w:rFonts w:ascii="Times New Roman" w:hAnsi="Times New Roman" w:cs="Times New Roman"/>
              </w:rPr>
            </w:pPr>
            <w:r w:rsidRPr="007A0A1B">
              <w:rPr>
                <w:rFonts w:ascii="Times New Roman" w:hAnsi="Times New Roman" w:cs="Times New Roman"/>
              </w:rPr>
              <w:t xml:space="preserve">By reviewing examples of poorly written letters, we can target what content and specific verbiage that presents the greatest challenges to the offshore representatives.  If specific patterns are recognized, we can also deduce if the verbiage problems are associated with all correspondence processors or individual instances.     </w:t>
            </w:r>
          </w:p>
        </w:tc>
      </w:tr>
      <w:tr w:rsidR="00616F45" w:rsidRPr="00616F45" w:rsidTr="00F24B58">
        <w:tc>
          <w:tcPr>
            <w:tcW w:w="2774" w:type="dxa"/>
          </w:tcPr>
          <w:p w:rsidR="00616F45" w:rsidRPr="007A0A1B" w:rsidRDefault="00616F45" w:rsidP="00F24B58">
            <w:pPr>
              <w:rPr>
                <w:rFonts w:ascii="Times New Roman" w:hAnsi="Times New Roman" w:cs="Times New Roman"/>
              </w:rPr>
            </w:pPr>
            <w:r w:rsidRPr="007A0A1B">
              <w:rPr>
                <w:rFonts w:ascii="Times New Roman" w:hAnsi="Times New Roman" w:cs="Times New Roman"/>
              </w:rPr>
              <w:t>Increased inventory to process. Regular processing is discouraged and therefore Service Level Agreements are not met</w:t>
            </w:r>
          </w:p>
        </w:tc>
        <w:tc>
          <w:tcPr>
            <w:tcW w:w="3494" w:type="dxa"/>
          </w:tcPr>
          <w:p w:rsidR="00616F45" w:rsidRPr="007A0A1B" w:rsidRDefault="000F133C" w:rsidP="00F24B58">
            <w:pPr>
              <w:rPr>
                <w:rFonts w:ascii="Times New Roman" w:hAnsi="Times New Roman" w:cs="Times New Roman"/>
              </w:rPr>
            </w:pPr>
            <w:r w:rsidRPr="007A0A1B">
              <w:rPr>
                <w:rFonts w:ascii="Times New Roman" w:hAnsi="Times New Roman" w:cs="Times New Roman"/>
              </w:rPr>
              <w:t>Documentation Analysis</w:t>
            </w:r>
          </w:p>
        </w:tc>
        <w:tc>
          <w:tcPr>
            <w:tcW w:w="3308" w:type="dxa"/>
          </w:tcPr>
          <w:p w:rsidR="00616F45" w:rsidRPr="007A0A1B" w:rsidRDefault="00347B4B" w:rsidP="00F24B58">
            <w:pPr>
              <w:rPr>
                <w:rFonts w:ascii="Times New Roman" w:hAnsi="Times New Roman" w:cs="Times New Roman"/>
              </w:rPr>
            </w:pPr>
            <w:r w:rsidRPr="007A0A1B">
              <w:rPr>
                <w:rFonts w:ascii="Times New Roman" w:hAnsi="Times New Roman" w:cs="Times New Roman"/>
              </w:rPr>
              <w:t>By reviewing existing canned letters we can determine what</w:t>
            </w:r>
            <w:r w:rsidR="001666F0" w:rsidRPr="007A0A1B">
              <w:rPr>
                <w:rFonts w:ascii="Times New Roman" w:hAnsi="Times New Roman" w:cs="Times New Roman"/>
              </w:rPr>
              <w:t xml:space="preserve"> scenarios are already covered, and whether or not the correspondence processors are aware of these letters.  Additionally, we can review the </w:t>
            </w:r>
            <w:r w:rsidR="007A0A1B" w:rsidRPr="007A0A1B">
              <w:rPr>
                <w:rFonts w:ascii="Times New Roman" w:hAnsi="Times New Roman" w:cs="Times New Roman"/>
              </w:rPr>
              <w:t xml:space="preserve">documented </w:t>
            </w:r>
            <w:r w:rsidR="001666F0" w:rsidRPr="007A0A1B">
              <w:rPr>
                <w:rFonts w:ascii="Times New Roman" w:hAnsi="Times New Roman" w:cs="Times New Roman"/>
              </w:rPr>
              <w:t>standards of quality in order to determine what parameters consist of an accurate letter than answers the customer's inquiry.</w:t>
            </w:r>
          </w:p>
        </w:tc>
      </w:tr>
      <w:tr w:rsidR="00616F45" w:rsidRPr="00616F45" w:rsidTr="00F24B58">
        <w:tc>
          <w:tcPr>
            <w:tcW w:w="2774" w:type="dxa"/>
          </w:tcPr>
          <w:p w:rsidR="00616F45" w:rsidRPr="007A0A1B" w:rsidRDefault="00B326B2" w:rsidP="00F24B58">
            <w:pPr>
              <w:rPr>
                <w:rFonts w:ascii="Times New Roman" w:hAnsi="Times New Roman" w:cs="Times New Roman"/>
              </w:rPr>
            </w:pPr>
            <w:r w:rsidRPr="007A0A1B">
              <w:rPr>
                <w:rFonts w:ascii="Times New Roman" w:hAnsi="Times New Roman" w:cs="Times New Roman"/>
              </w:rPr>
              <w:t>Increased questions relayed to onshore representatives requesting clarification on policy coverage details and policy language</w:t>
            </w:r>
          </w:p>
        </w:tc>
        <w:tc>
          <w:tcPr>
            <w:tcW w:w="3494" w:type="dxa"/>
          </w:tcPr>
          <w:p w:rsidR="00616F45" w:rsidRPr="007A0A1B" w:rsidRDefault="00692B81" w:rsidP="00F24B58">
            <w:pPr>
              <w:rPr>
                <w:rFonts w:ascii="Times New Roman" w:hAnsi="Times New Roman" w:cs="Times New Roman"/>
              </w:rPr>
            </w:pPr>
            <w:r w:rsidRPr="007A0A1B">
              <w:rPr>
                <w:rFonts w:ascii="Times New Roman" w:hAnsi="Times New Roman" w:cs="Times New Roman"/>
              </w:rPr>
              <w:t xml:space="preserve">Surveys and Questionnaires </w:t>
            </w:r>
          </w:p>
        </w:tc>
        <w:tc>
          <w:tcPr>
            <w:tcW w:w="3308" w:type="dxa"/>
          </w:tcPr>
          <w:p w:rsidR="00616F45" w:rsidRPr="007A0A1B" w:rsidRDefault="001666F0" w:rsidP="001666F0">
            <w:pPr>
              <w:rPr>
                <w:rFonts w:ascii="Times New Roman" w:hAnsi="Times New Roman" w:cs="Times New Roman"/>
              </w:rPr>
            </w:pPr>
            <w:r w:rsidRPr="007A0A1B">
              <w:rPr>
                <w:rFonts w:ascii="Times New Roman" w:hAnsi="Times New Roman" w:cs="Times New Roman"/>
              </w:rPr>
              <w:t>Question both the offshore correspondence processors as well as the onshore SMEs to determine the most common questions received, in order to isolate and categorize any regular</w:t>
            </w:r>
            <w:r w:rsidR="007A0A1B">
              <w:rPr>
                <w:rFonts w:ascii="Times New Roman" w:hAnsi="Times New Roman" w:cs="Times New Roman"/>
              </w:rPr>
              <w:t>ly encountered</w:t>
            </w:r>
            <w:r w:rsidRPr="007A0A1B">
              <w:rPr>
                <w:rFonts w:ascii="Times New Roman" w:hAnsi="Times New Roman" w:cs="Times New Roman"/>
              </w:rPr>
              <w:t xml:space="preserve"> difficult policy subject.</w:t>
            </w:r>
          </w:p>
        </w:tc>
      </w:tr>
    </w:tbl>
    <w:p w:rsidR="007A0A1B" w:rsidRDefault="00294DEB" w:rsidP="00B744BA">
      <w:pPr>
        <w:spacing w:line="480" w:lineRule="auto"/>
        <w:rPr>
          <w:rFonts w:ascii="Times New Roman" w:hAnsi="Times New Roman" w:cs="Times New Roman"/>
          <w:b/>
          <w:sz w:val="24"/>
          <w:szCs w:val="24"/>
        </w:rPr>
      </w:pPr>
      <w:r w:rsidRPr="00294DEB">
        <w:rPr>
          <w:rFonts w:ascii="Times New Roman" w:hAnsi="Times New Roman" w:cs="Times New Roman"/>
          <w:noProof/>
        </w:rPr>
        <w:pict>
          <v:shape id="Text Box 83" o:spid="_x0000_s1027" type="#_x0000_t202" style="position:absolute;margin-left:-6.5pt;margin-top:9pt;width:186.9pt;height:20.7pt;z-index:25174220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" stroked="f">
            <v:textbox>
              <w:txbxContent>
                <w:p w:rsidR="000E4C8F" w:rsidRPr="00D32B6B" w:rsidRDefault="000E4C8F" w:rsidP="000E4C8F">
                  <w:pPr>
                    <w:rPr>
                      <w:rFonts w:ascii="Times New Roman" w:hAnsi="Times New Roman" w:cs="Times New Roman"/>
                      <w:sz w:val="18"/>
                      <w:szCs w:val="18"/>
                    </w:rPr>
                  </w:pPr>
                  <w:r w:rsidRPr="00D32B6B">
                    <w:rPr>
                      <w:rFonts w:ascii="Times New Roman" w:hAnsi="Times New Roman" w:cs="Times New Roman"/>
                      <w:i/>
                      <w:sz w:val="18"/>
                      <w:szCs w:val="18"/>
                    </w:rPr>
                    <w:t xml:space="preserve">Source: </w:t>
                  </w:r>
                  <w:proofErr w:type="spellStart"/>
                  <w:r w:rsidRPr="00D32B6B">
                    <w:rPr>
                      <w:rFonts w:ascii="Times New Roman" w:hAnsi="Times New Roman" w:cs="Times New Roman"/>
                      <w:sz w:val="18"/>
                      <w:szCs w:val="18"/>
                    </w:rPr>
                    <w:t>Stolovitch</w:t>
                  </w:r>
                  <w:proofErr w:type="spellEnd"/>
                  <w:r w:rsidRPr="00D32B6B">
                    <w:rPr>
                      <w:rFonts w:ascii="Times New Roman" w:hAnsi="Times New Roman" w:cs="Times New Roman"/>
                      <w:sz w:val="18"/>
                      <w:szCs w:val="18"/>
                    </w:rPr>
                    <w:t xml:space="preserve"> &amp; Keeps (2004) Template</w:t>
                  </w:r>
                </w:p>
              </w:txbxContent>
            </v:textbox>
          </v:shape>
        </w:pict>
      </w:r>
    </w:p>
    <w:p w:rsidR="007A0A1B" w:rsidRDefault="007A0A1B" w:rsidP="00B744BA">
      <w:pPr>
        <w:spacing w:line="480" w:lineRule="auto"/>
        <w:rPr>
          <w:rFonts w:ascii="Times New Roman" w:hAnsi="Times New Roman" w:cs="Times New Roman"/>
          <w:b/>
          <w:sz w:val="24"/>
          <w:szCs w:val="24"/>
        </w:rPr>
      </w:pPr>
    </w:p>
    <w:p w:rsidR="00B744BA" w:rsidRDefault="00B744BA" w:rsidP="00B744B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B744BA" w:rsidRDefault="00B744BA" w:rsidP="00B744BA">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It is important to note that while several performance gaps have been identified, the potential root causes, investigative tools and desired return feedback from said investigations </w:t>
      </w:r>
      <w:r w:rsidR="007A0A1B">
        <w:rPr>
          <w:rFonts w:ascii="Times New Roman" w:hAnsi="Times New Roman" w:cs="Times New Roman"/>
          <w:sz w:val="24"/>
          <w:szCs w:val="24"/>
        </w:rPr>
        <w:t>are</w:t>
      </w:r>
      <w:r>
        <w:rPr>
          <w:rFonts w:ascii="Times New Roman" w:hAnsi="Times New Roman" w:cs="Times New Roman"/>
          <w:sz w:val="24"/>
          <w:szCs w:val="24"/>
        </w:rPr>
        <w:t xml:space="preserve"> by no means exhaustive.</w:t>
      </w:r>
      <w:r w:rsidR="007A0A1B">
        <w:rPr>
          <w:rFonts w:ascii="Times New Roman" w:hAnsi="Times New Roman" w:cs="Times New Roman"/>
          <w:sz w:val="24"/>
          <w:szCs w:val="24"/>
        </w:rPr>
        <w:t xml:space="preserve">  It is extremely likely that </w:t>
      </w:r>
      <w:r>
        <w:rPr>
          <w:rFonts w:ascii="Times New Roman" w:hAnsi="Times New Roman" w:cs="Times New Roman"/>
          <w:sz w:val="24"/>
          <w:szCs w:val="24"/>
        </w:rPr>
        <w:t xml:space="preserve">as documentation analysis proceeds, further regulatory requirements may be encountered that could restrict any immediate changes.  Additionally, interdepartmental influences can arise from even subtle changes in protocol, and therefore </w:t>
      </w:r>
      <w:r w:rsidR="00A807F1">
        <w:rPr>
          <w:rFonts w:ascii="Times New Roman" w:hAnsi="Times New Roman" w:cs="Times New Roman"/>
          <w:sz w:val="24"/>
          <w:szCs w:val="24"/>
        </w:rPr>
        <w:t>increased awareness of this fact is essential to keep in mind during each step of the investigative process and before assuming any outright solutions.  In this same manner</w:t>
      </w:r>
      <w:r w:rsidR="007A0A1B">
        <w:rPr>
          <w:rFonts w:ascii="Times New Roman" w:hAnsi="Times New Roman" w:cs="Times New Roman"/>
          <w:sz w:val="24"/>
          <w:szCs w:val="24"/>
        </w:rPr>
        <w:t>,</w:t>
      </w:r>
      <w:r w:rsidR="00A807F1">
        <w:rPr>
          <w:rFonts w:ascii="Times New Roman" w:hAnsi="Times New Roman" w:cs="Times New Roman"/>
          <w:sz w:val="24"/>
          <w:szCs w:val="24"/>
        </w:rPr>
        <w:t xml:space="preserve"> it is quite possible that more manageable interventions may be applied to decrease and even eliminate performance gaps </w:t>
      </w:r>
      <w:r w:rsidR="00A807F1" w:rsidRPr="00A807F1">
        <w:rPr>
          <w:rFonts w:ascii="Times New Roman" w:hAnsi="Times New Roman" w:cs="Times New Roman"/>
          <w:sz w:val="24"/>
          <w:szCs w:val="24"/>
        </w:rPr>
        <w:t>(</w:t>
      </w:r>
      <w:proofErr w:type="spellStart"/>
      <w:r w:rsidR="00A807F1" w:rsidRPr="00A807F1">
        <w:rPr>
          <w:rFonts w:ascii="Times New Roman" w:hAnsi="Times New Roman" w:cs="Times New Roman"/>
          <w:sz w:val="24"/>
          <w:szCs w:val="24"/>
        </w:rPr>
        <w:t>Stolovitch</w:t>
      </w:r>
      <w:proofErr w:type="spellEnd"/>
      <w:r w:rsidR="00A807F1" w:rsidRPr="00A807F1">
        <w:rPr>
          <w:rFonts w:ascii="Times New Roman" w:hAnsi="Times New Roman" w:cs="Times New Roman"/>
          <w:sz w:val="24"/>
          <w:szCs w:val="24"/>
        </w:rPr>
        <w:t xml:space="preserve"> &amp; Keeps, 2004).</w:t>
      </w:r>
      <w:r w:rsidR="00A807F1">
        <w:rPr>
          <w:rFonts w:ascii="Times New Roman" w:hAnsi="Times New Roman" w:cs="Times New Roman"/>
          <w:sz w:val="24"/>
          <w:szCs w:val="24"/>
        </w:rPr>
        <w:t xml:space="preserve">  Overall, the process will be supported by any means necessary using the current resources and any new information obtained along the way.  The team will be receptive to any criticism, suggestions and demands made on behalf of the </w:t>
      </w:r>
      <w:r w:rsidR="00D95F74">
        <w:rPr>
          <w:rFonts w:ascii="Times New Roman" w:hAnsi="Times New Roman" w:cs="Times New Roman"/>
          <w:sz w:val="24"/>
          <w:szCs w:val="24"/>
        </w:rPr>
        <w:t>company to ensure that the problems are solved.</w:t>
      </w:r>
    </w:p>
    <w:p w:rsidR="00B744BA" w:rsidRDefault="00B744BA" w:rsidP="00B744BA">
      <w:pPr>
        <w:spacing w:line="480" w:lineRule="auto"/>
        <w:rPr>
          <w:rFonts w:ascii="Times New Roman" w:hAnsi="Times New Roman" w:cs="Times New Roman"/>
          <w:b/>
          <w:sz w:val="24"/>
          <w:szCs w:val="24"/>
        </w:rPr>
      </w:pPr>
      <w:r>
        <w:rPr>
          <w:rFonts w:ascii="Times New Roman" w:hAnsi="Times New Roman" w:cs="Times New Roman"/>
          <w:b/>
          <w:sz w:val="24"/>
          <w:szCs w:val="24"/>
        </w:rPr>
        <w:tab/>
      </w:r>
    </w:p>
    <w:p w:rsidR="00B744BA" w:rsidRDefault="00B744BA" w:rsidP="00B744BA">
      <w:pPr>
        <w:spacing w:line="480" w:lineRule="auto"/>
        <w:rPr>
          <w:rFonts w:ascii="Times New Roman" w:hAnsi="Times New Roman" w:cs="Times New Roman"/>
          <w:sz w:val="24"/>
          <w:szCs w:val="24"/>
        </w:rPr>
      </w:pPr>
    </w:p>
    <w:p w:rsidR="00D95F74" w:rsidRDefault="00D95F74" w:rsidP="00B744BA">
      <w:pPr>
        <w:spacing w:line="480" w:lineRule="auto"/>
        <w:rPr>
          <w:rFonts w:ascii="Times New Roman" w:hAnsi="Times New Roman" w:cs="Times New Roman"/>
          <w:sz w:val="24"/>
          <w:szCs w:val="24"/>
        </w:rPr>
      </w:pPr>
    </w:p>
    <w:p w:rsidR="00D95F74" w:rsidRDefault="00D95F74" w:rsidP="00B744BA">
      <w:pPr>
        <w:spacing w:line="480" w:lineRule="auto"/>
        <w:rPr>
          <w:rFonts w:ascii="Times New Roman" w:hAnsi="Times New Roman" w:cs="Times New Roman"/>
          <w:sz w:val="24"/>
          <w:szCs w:val="24"/>
        </w:rPr>
      </w:pPr>
    </w:p>
    <w:p w:rsidR="00D95F74" w:rsidRDefault="00D95F74" w:rsidP="00B744BA">
      <w:pPr>
        <w:spacing w:line="480" w:lineRule="auto"/>
        <w:rPr>
          <w:rFonts w:ascii="Times New Roman" w:hAnsi="Times New Roman" w:cs="Times New Roman"/>
          <w:sz w:val="24"/>
          <w:szCs w:val="24"/>
        </w:rPr>
      </w:pPr>
    </w:p>
    <w:p w:rsidR="00D95F74" w:rsidRDefault="00D95F74" w:rsidP="00B744BA">
      <w:pPr>
        <w:spacing w:line="480" w:lineRule="auto"/>
        <w:rPr>
          <w:rFonts w:ascii="Times New Roman" w:hAnsi="Times New Roman" w:cs="Times New Roman"/>
          <w:sz w:val="24"/>
          <w:szCs w:val="24"/>
        </w:rPr>
      </w:pPr>
    </w:p>
    <w:p w:rsidR="00D95F74" w:rsidRDefault="00D95F74" w:rsidP="00B744BA">
      <w:pPr>
        <w:spacing w:line="480" w:lineRule="auto"/>
        <w:rPr>
          <w:rFonts w:ascii="Times New Roman" w:hAnsi="Times New Roman" w:cs="Times New Roman"/>
          <w:sz w:val="24"/>
          <w:szCs w:val="24"/>
        </w:rPr>
      </w:pPr>
    </w:p>
    <w:p w:rsidR="00D95F74" w:rsidRPr="00D36BA2" w:rsidRDefault="00D95F74" w:rsidP="00D95F74">
      <w:pPr>
        <w:spacing w:line="480" w:lineRule="auto"/>
        <w:rPr>
          <w:rFonts w:ascii="Times New Roman" w:hAnsi="Times New Roman" w:cs="Times New Roman"/>
          <w:sz w:val="24"/>
          <w:szCs w:val="24"/>
          <w:u w:val="single"/>
        </w:rPr>
      </w:pPr>
      <w:r w:rsidRPr="00D36BA2">
        <w:rPr>
          <w:rFonts w:ascii="Times New Roman" w:hAnsi="Times New Roman" w:cs="Times New Roman"/>
          <w:b/>
          <w:sz w:val="24"/>
          <w:szCs w:val="24"/>
          <w:u w:val="single"/>
        </w:rPr>
        <w:lastRenderedPageBreak/>
        <w:t>References:</w:t>
      </w:r>
    </w:p>
    <w:p w:rsidR="00D95F74" w:rsidRPr="00D36BA2" w:rsidRDefault="00D95F74" w:rsidP="00FD742A">
      <w:pPr>
        <w:spacing w:line="240" w:lineRule="auto"/>
        <w:rPr>
          <w:rFonts w:ascii="Times New Roman" w:hAnsi="Times New Roman" w:cs="Times New Roman"/>
          <w:sz w:val="24"/>
          <w:szCs w:val="24"/>
        </w:rPr>
      </w:pPr>
      <w:r w:rsidRPr="00D36BA2">
        <w:rPr>
          <w:rFonts w:ascii="Times New Roman" w:hAnsi="Times New Roman" w:cs="Times New Roman"/>
          <w:sz w:val="24"/>
          <w:szCs w:val="24"/>
        </w:rPr>
        <w:t xml:space="preserve">Addison, R. M., &amp; </w:t>
      </w:r>
      <w:proofErr w:type="spellStart"/>
      <w:r w:rsidRPr="00D36BA2">
        <w:rPr>
          <w:rFonts w:ascii="Times New Roman" w:hAnsi="Times New Roman" w:cs="Times New Roman"/>
          <w:sz w:val="24"/>
          <w:szCs w:val="24"/>
        </w:rPr>
        <w:t>Wittkuhn</w:t>
      </w:r>
      <w:proofErr w:type="spellEnd"/>
      <w:r w:rsidRPr="00D36BA2">
        <w:rPr>
          <w:rFonts w:ascii="Times New Roman" w:hAnsi="Times New Roman" w:cs="Times New Roman"/>
          <w:sz w:val="24"/>
          <w:szCs w:val="24"/>
        </w:rPr>
        <w:t xml:space="preserve">, K. D. (2001). HPT: The culture factor. Performance Improvement, </w:t>
      </w:r>
      <w:r>
        <w:rPr>
          <w:rFonts w:ascii="Times New Roman" w:hAnsi="Times New Roman" w:cs="Times New Roman"/>
          <w:sz w:val="24"/>
          <w:szCs w:val="24"/>
        </w:rPr>
        <w:tab/>
      </w:r>
      <w:r w:rsidRPr="00D36BA2">
        <w:rPr>
          <w:rFonts w:ascii="Times New Roman" w:hAnsi="Times New Roman" w:cs="Times New Roman"/>
          <w:sz w:val="24"/>
          <w:szCs w:val="24"/>
        </w:rPr>
        <w:t>40(3), 14-19.</w:t>
      </w:r>
    </w:p>
    <w:p w:rsidR="00D95F74" w:rsidRDefault="00D95F74" w:rsidP="00FD742A">
      <w:pPr>
        <w:spacing w:line="240" w:lineRule="auto"/>
        <w:rPr>
          <w:rFonts w:ascii="Times New Roman" w:hAnsi="Times New Roman" w:cs="Times New Roman"/>
          <w:sz w:val="24"/>
          <w:szCs w:val="24"/>
        </w:rPr>
      </w:pPr>
      <w:r w:rsidRPr="00D36BA2">
        <w:rPr>
          <w:rFonts w:ascii="Times New Roman" w:hAnsi="Times New Roman" w:cs="Times New Roman"/>
          <w:sz w:val="24"/>
          <w:szCs w:val="24"/>
        </w:rPr>
        <w:t xml:space="preserve">Marques, J. (2007). Implementing workplace diversity and values: What it means, what it brings. </w:t>
      </w:r>
      <w:r>
        <w:rPr>
          <w:rFonts w:ascii="Times New Roman" w:hAnsi="Times New Roman" w:cs="Times New Roman"/>
          <w:sz w:val="24"/>
          <w:szCs w:val="24"/>
        </w:rPr>
        <w:tab/>
      </w:r>
      <w:r w:rsidRPr="00D36BA2">
        <w:rPr>
          <w:rFonts w:ascii="Times New Roman" w:hAnsi="Times New Roman" w:cs="Times New Roman"/>
          <w:sz w:val="24"/>
          <w:szCs w:val="24"/>
        </w:rPr>
        <w:t>Performance Improvement, 46(9), 5-7. doi:10.1002/pfi.159</w:t>
      </w:r>
    </w:p>
    <w:p w:rsidR="00D95F74" w:rsidRPr="00D36BA2" w:rsidRDefault="00D95F74" w:rsidP="00FD742A">
      <w:pPr>
        <w:spacing w:line="240" w:lineRule="auto"/>
        <w:rPr>
          <w:rFonts w:ascii="Times New Roman" w:hAnsi="Times New Roman" w:cs="Times New Roman"/>
          <w:sz w:val="24"/>
          <w:szCs w:val="24"/>
        </w:rPr>
      </w:pPr>
      <w:proofErr w:type="spellStart"/>
      <w:r w:rsidRPr="00D36BA2">
        <w:rPr>
          <w:rFonts w:ascii="Times New Roman" w:hAnsi="Times New Roman" w:cs="Times New Roman"/>
          <w:sz w:val="24"/>
          <w:szCs w:val="24"/>
        </w:rPr>
        <w:t>Stolovitch</w:t>
      </w:r>
      <w:proofErr w:type="spellEnd"/>
      <w:r w:rsidRPr="00D36BA2">
        <w:rPr>
          <w:rFonts w:ascii="Times New Roman" w:hAnsi="Times New Roman" w:cs="Times New Roman"/>
          <w:sz w:val="24"/>
          <w:szCs w:val="24"/>
        </w:rPr>
        <w:t xml:space="preserve">, H.D., &amp; Keeps, E.J. (2004). Training </w:t>
      </w:r>
      <w:proofErr w:type="spellStart"/>
      <w:r w:rsidRPr="00D36BA2">
        <w:rPr>
          <w:rFonts w:ascii="Times New Roman" w:hAnsi="Times New Roman" w:cs="Times New Roman"/>
          <w:sz w:val="24"/>
          <w:szCs w:val="24"/>
        </w:rPr>
        <w:t>Ain’t</w:t>
      </w:r>
      <w:proofErr w:type="spellEnd"/>
      <w:r w:rsidRPr="00D36BA2">
        <w:rPr>
          <w:rFonts w:ascii="Times New Roman" w:hAnsi="Times New Roman" w:cs="Times New Roman"/>
          <w:sz w:val="24"/>
          <w:szCs w:val="24"/>
        </w:rPr>
        <w:t xml:space="preserve"> Performance. Alexandria, VA: ASTD </w:t>
      </w:r>
      <w:r>
        <w:rPr>
          <w:rFonts w:ascii="Times New Roman" w:hAnsi="Times New Roman" w:cs="Times New Roman"/>
          <w:sz w:val="24"/>
          <w:szCs w:val="24"/>
        </w:rPr>
        <w:tab/>
      </w:r>
      <w:r w:rsidRPr="00D36BA2">
        <w:rPr>
          <w:rFonts w:ascii="Times New Roman" w:hAnsi="Times New Roman" w:cs="Times New Roman"/>
          <w:sz w:val="24"/>
          <w:szCs w:val="24"/>
        </w:rPr>
        <w:t>Press.</w:t>
      </w:r>
    </w:p>
    <w:p w:rsidR="00D95F74" w:rsidRDefault="00D95F74" w:rsidP="00FD742A">
      <w:pPr>
        <w:rPr>
          <w:rFonts w:ascii="Times New Roman" w:hAnsi="Times New Roman" w:cs="Times New Roman"/>
          <w:sz w:val="24"/>
          <w:szCs w:val="24"/>
        </w:rPr>
      </w:pPr>
    </w:p>
    <w:p w:rsidR="00D36BA2" w:rsidRDefault="00D36BA2" w:rsidP="005335C2">
      <w:pPr>
        <w:spacing w:line="480" w:lineRule="auto"/>
        <w:rPr>
          <w:rFonts w:ascii="Times New Roman" w:hAnsi="Times New Roman" w:cs="Times New Roman"/>
          <w:sz w:val="24"/>
          <w:szCs w:val="24"/>
        </w:rPr>
      </w:pPr>
    </w:p>
    <w:p w:rsidR="00D36BA2" w:rsidRDefault="00D36BA2" w:rsidP="005335C2">
      <w:pPr>
        <w:spacing w:line="480" w:lineRule="auto"/>
        <w:rPr>
          <w:rFonts w:ascii="Times New Roman" w:hAnsi="Times New Roman" w:cs="Times New Roman"/>
          <w:sz w:val="24"/>
          <w:szCs w:val="24"/>
        </w:rPr>
      </w:pPr>
    </w:p>
    <w:sectPr w:rsidR="00D36BA2" w:rsidSect="00314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3610"/>
    <w:multiLevelType w:val="hybridMultilevel"/>
    <w:tmpl w:val="6A641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406410"/>
    <w:multiLevelType w:val="hybridMultilevel"/>
    <w:tmpl w:val="56D2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379DE"/>
    <w:multiLevelType w:val="hybridMultilevel"/>
    <w:tmpl w:val="CCDCA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26A1E"/>
    <w:multiLevelType w:val="hybridMultilevel"/>
    <w:tmpl w:val="ADF8AC48"/>
    <w:lvl w:ilvl="0" w:tplc="6A6C373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EA44EC"/>
    <w:rsid w:val="00053F05"/>
    <w:rsid w:val="000861C7"/>
    <w:rsid w:val="000965E8"/>
    <w:rsid w:val="000C0266"/>
    <w:rsid w:val="000E0718"/>
    <w:rsid w:val="000E4C8F"/>
    <w:rsid w:val="000F133C"/>
    <w:rsid w:val="00107A0E"/>
    <w:rsid w:val="00111BBA"/>
    <w:rsid w:val="001412C2"/>
    <w:rsid w:val="001666F0"/>
    <w:rsid w:val="0018689D"/>
    <w:rsid w:val="001B0331"/>
    <w:rsid w:val="001B4364"/>
    <w:rsid w:val="001B52DA"/>
    <w:rsid w:val="00216FA7"/>
    <w:rsid w:val="0023637C"/>
    <w:rsid w:val="00294DEB"/>
    <w:rsid w:val="002D3B29"/>
    <w:rsid w:val="00314DBA"/>
    <w:rsid w:val="00320046"/>
    <w:rsid w:val="00321863"/>
    <w:rsid w:val="00347B4B"/>
    <w:rsid w:val="003E578B"/>
    <w:rsid w:val="003F67D3"/>
    <w:rsid w:val="00400E6C"/>
    <w:rsid w:val="0043630D"/>
    <w:rsid w:val="004B2703"/>
    <w:rsid w:val="00511A0B"/>
    <w:rsid w:val="005335C2"/>
    <w:rsid w:val="00590A5B"/>
    <w:rsid w:val="005938F5"/>
    <w:rsid w:val="00594CC1"/>
    <w:rsid w:val="005B3DEE"/>
    <w:rsid w:val="005C6834"/>
    <w:rsid w:val="005F579D"/>
    <w:rsid w:val="00616F45"/>
    <w:rsid w:val="00636D58"/>
    <w:rsid w:val="0064347F"/>
    <w:rsid w:val="00646439"/>
    <w:rsid w:val="00672C1F"/>
    <w:rsid w:val="00690E26"/>
    <w:rsid w:val="00692B81"/>
    <w:rsid w:val="006C2CDD"/>
    <w:rsid w:val="006C699E"/>
    <w:rsid w:val="006D0677"/>
    <w:rsid w:val="006E27E3"/>
    <w:rsid w:val="006F1B76"/>
    <w:rsid w:val="006F395C"/>
    <w:rsid w:val="0071190F"/>
    <w:rsid w:val="00712B7D"/>
    <w:rsid w:val="007257C4"/>
    <w:rsid w:val="00786207"/>
    <w:rsid w:val="007A0A1B"/>
    <w:rsid w:val="007B2CF5"/>
    <w:rsid w:val="007C52F5"/>
    <w:rsid w:val="008049FC"/>
    <w:rsid w:val="00805187"/>
    <w:rsid w:val="008415D8"/>
    <w:rsid w:val="00856B92"/>
    <w:rsid w:val="00864D8C"/>
    <w:rsid w:val="0087609B"/>
    <w:rsid w:val="0090508B"/>
    <w:rsid w:val="00917A10"/>
    <w:rsid w:val="009630F5"/>
    <w:rsid w:val="00985DB0"/>
    <w:rsid w:val="009C1230"/>
    <w:rsid w:val="00A71600"/>
    <w:rsid w:val="00A807F1"/>
    <w:rsid w:val="00AA5F85"/>
    <w:rsid w:val="00AC087E"/>
    <w:rsid w:val="00B07553"/>
    <w:rsid w:val="00B2392E"/>
    <w:rsid w:val="00B326B2"/>
    <w:rsid w:val="00B527C7"/>
    <w:rsid w:val="00B72354"/>
    <w:rsid w:val="00B744BA"/>
    <w:rsid w:val="00C11098"/>
    <w:rsid w:val="00C72A5C"/>
    <w:rsid w:val="00C937B9"/>
    <w:rsid w:val="00CD2158"/>
    <w:rsid w:val="00CE34BB"/>
    <w:rsid w:val="00CF4A2B"/>
    <w:rsid w:val="00D2760D"/>
    <w:rsid w:val="00D27FBF"/>
    <w:rsid w:val="00D32B6B"/>
    <w:rsid w:val="00D36BA2"/>
    <w:rsid w:val="00D75DA8"/>
    <w:rsid w:val="00D824EB"/>
    <w:rsid w:val="00D864D0"/>
    <w:rsid w:val="00D93641"/>
    <w:rsid w:val="00D95F74"/>
    <w:rsid w:val="00E41588"/>
    <w:rsid w:val="00EA44EC"/>
    <w:rsid w:val="00EC019E"/>
    <w:rsid w:val="00F255C6"/>
    <w:rsid w:val="00F25E3C"/>
    <w:rsid w:val="00F54671"/>
    <w:rsid w:val="00F55185"/>
    <w:rsid w:val="00F63F32"/>
    <w:rsid w:val="00F87702"/>
    <w:rsid w:val="00F9122F"/>
    <w:rsid w:val="00FB2817"/>
    <w:rsid w:val="00FC7516"/>
    <w:rsid w:val="00FD742A"/>
    <w:rsid w:val="00FE2F8B"/>
    <w:rsid w:val="00FF3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E3"/>
  </w:style>
  <w:style w:type="paragraph" w:styleId="Heading1">
    <w:name w:val="heading 1"/>
    <w:basedOn w:val="Normal"/>
    <w:next w:val="Normal"/>
    <w:link w:val="Heading1Char"/>
    <w:uiPriority w:val="9"/>
    <w:qFormat/>
    <w:rsid w:val="00533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5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335C2"/>
    <w:pPr>
      <w:ind w:left="720"/>
      <w:contextualSpacing/>
    </w:pPr>
  </w:style>
  <w:style w:type="table" w:styleId="TableGrid">
    <w:name w:val="Table Grid"/>
    <w:basedOn w:val="TableNormal"/>
    <w:uiPriority w:val="59"/>
    <w:rsid w:val="00533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6B"/>
    <w:rPr>
      <w:rFonts w:ascii="Tahoma" w:hAnsi="Tahoma" w:cs="Tahoma"/>
      <w:sz w:val="16"/>
      <w:szCs w:val="16"/>
    </w:rPr>
  </w:style>
  <w:style w:type="character" w:styleId="CommentReference">
    <w:name w:val="annotation reference"/>
    <w:basedOn w:val="DefaultParagraphFont"/>
    <w:uiPriority w:val="99"/>
    <w:semiHidden/>
    <w:unhideWhenUsed/>
    <w:rsid w:val="008415D8"/>
    <w:rPr>
      <w:sz w:val="16"/>
      <w:szCs w:val="16"/>
    </w:rPr>
  </w:style>
  <w:style w:type="paragraph" w:styleId="CommentText">
    <w:name w:val="annotation text"/>
    <w:basedOn w:val="Normal"/>
    <w:link w:val="CommentTextChar"/>
    <w:uiPriority w:val="99"/>
    <w:semiHidden/>
    <w:unhideWhenUsed/>
    <w:rsid w:val="008415D8"/>
    <w:pPr>
      <w:spacing w:line="240" w:lineRule="auto"/>
    </w:pPr>
    <w:rPr>
      <w:sz w:val="20"/>
      <w:szCs w:val="20"/>
    </w:rPr>
  </w:style>
  <w:style w:type="character" w:customStyle="1" w:styleId="CommentTextChar">
    <w:name w:val="Comment Text Char"/>
    <w:basedOn w:val="DefaultParagraphFont"/>
    <w:link w:val="CommentText"/>
    <w:uiPriority w:val="99"/>
    <w:semiHidden/>
    <w:rsid w:val="008415D8"/>
    <w:rPr>
      <w:sz w:val="20"/>
      <w:szCs w:val="20"/>
    </w:rPr>
  </w:style>
  <w:style w:type="paragraph" w:styleId="CommentSubject">
    <w:name w:val="annotation subject"/>
    <w:basedOn w:val="CommentText"/>
    <w:next w:val="CommentText"/>
    <w:link w:val="CommentSubjectChar"/>
    <w:uiPriority w:val="99"/>
    <w:semiHidden/>
    <w:unhideWhenUsed/>
    <w:rsid w:val="008415D8"/>
    <w:rPr>
      <w:b/>
      <w:bCs/>
    </w:rPr>
  </w:style>
  <w:style w:type="character" w:customStyle="1" w:styleId="CommentSubjectChar">
    <w:name w:val="Comment Subject Char"/>
    <w:basedOn w:val="CommentTextChar"/>
    <w:link w:val="CommentSubject"/>
    <w:uiPriority w:val="99"/>
    <w:semiHidden/>
    <w:rsid w:val="008415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5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335C2"/>
    <w:pPr>
      <w:ind w:left="720"/>
      <w:contextualSpacing/>
    </w:pPr>
  </w:style>
  <w:style w:type="table" w:styleId="TableGrid">
    <w:name w:val="Table Grid"/>
    <w:basedOn w:val="TableNormal"/>
    <w:uiPriority w:val="59"/>
    <w:rsid w:val="0053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6B"/>
    <w:rPr>
      <w:rFonts w:ascii="Tahoma" w:hAnsi="Tahoma" w:cs="Tahoma"/>
      <w:sz w:val="16"/>
      <w:szCs w:val="16"/>
    </w:rPr>
  </w:style>
  <w:style w:type="character" w:styleId="CommentReference">
    <w:name w:val="annotation reference"/>
    <w:basedOn w:val="DefaultParagraphFont"/>
    <w:uiPriority w:val="99"/>
    <w:semiHidden/>
    <w:unhideWhenUsed/>
    <w:rsid w:val="008415D8"/>
    <w:rPr>
      <w:sz w:val="16"/>
      <w:szCs w:val="16"/>
    </w:rPr>
  </w:style>
  <w:style w:type="paragraph" w:styleId="CommentText">
    <w:name w:val="annotation text"/>
    <w:basedOn w:val="Normal"/>
    <w:link w:val="CommentTextChar"/>
    <w:uiPriority w:val="99"/>
    <w:semiHidden/>
    <w:unhideWhenUsed/>
    <w:rsid w:val="008415D8"/>
    <w:pPr>
      <w:spacing w:line="240" w:lineRule="auto"/>
    </w:pPr>
    <w:rPr>
      <w:sz w:val="20"/>
      <w:szCs w:val="20"/>
    </w:rPr>
  </w:style>
  <w:style w:type="character" w:customStyle="1" w:styleId="CommentTextChar">
    <w:name w:val="Comment Text Char"/>
    <w:basedOn w:val="DefaultParagraphFont"/>
    <w:link w:val="CommentText"/>
    <w:uiPriority w:val="99"/>
    <w:semiHidden/>
    <w:rsid w:val="008415D8"/>
    <w:rPr>
      <w:sz w:val="20"/>
      <w:szCs w:val="20"/>
    </w:rPr>
  </w:style>
  <w:style w:type="paragraph" w:styleId="CommentSubject">
    <w:name w:val="annotation subject"/>
    <w:basedOn w:val="CommentText"/>
    <w:next w:val="CommentText"/>
    <w:link w:val="CommentSubjectChar"/>
    <w:uiPriority w:val="99"/>
    <w:semiHidden/>
    <w:unhideWhenUsed/>
    <w:rsid w:val="008415D8"/>
    <w:rPr>
      <w:b/>
      <w:bCs/>
    </w:rPr>
  </w:style>
  <w:style w:type="character" w:customStyle="1" w:styleId="CommentSubjectChar">
    <w:name w:val="Comment Subject Char"/>
    <w:basedOn w:val="CommentTextChar"/>
    <w:link w:val="CommentSubject"/>
    <w:uiPriority w:val="99"/>
    <w:semiHidden/>
    <w:rsid w:val="008415D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2015-02-11T02:17:00Z</dcterms:created>
  <dcterms:modified xsi:type="dcterms:W3CDTF">2015-02-11T02:17:00Z</dcterms:modified>
</cp:coreProperties>
</file>